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sz w:val="24"/>
          <w:szCs w:val="24"/>
        </w:rPr>
      </w:pPr>
      <w:bookmarkStart w:id="0" w:name="_GoBack"/>
      <w:bookmarkEnd w:id="0"/>
      <w:r w:rsidRPr="00235DF0">
        <w:rPr>
          <w:sz w:val="24"/>
          <w:szCs w:val="24"/>
        </w:rPr>
        <w:t>ПРИЛОЖЕНИЕ</w:t>
      </w:r>
    </w:p>
    <w:p w:rsidR="00235DF0" w:rsidRPr="00235DF0" w:rsidRDefault="00235DF0" w:rsidP="00235DF0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sz w:val="24"/>
          <w:szCs w:val="24"/>
        </w:rPr>
      </w:pPr>
      <w:r w:rsidRPr="00235DF0">
        <w:rPr>
          <w:sz w:val="24"/>
          <w:szCs w:val="24"/>
        </w:rPr>
        <w:t>к Решению Высшего Евр</w:t>
      </w:r>
      <w:r>
        <w:rPr>
          <w:sz w:val="24"/>
          <w:szCs w:val="24"/>
        </w:rPr>
        <w:t>азийского экономического совета</w:t>
      </w:r>
    </w:p>
    <w:p w:rsidR="004623F9" w:rsidRDefault="00235DF0" w:rsidP="00235DF0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Style w:val="Bodytext218pt"/>
          <w:b w:val="0"/>
          <w:i w:val="0"/>
          <w:sz w:val="24"/>
          <w:szCs w:val="24"/>
          <w:lang w:val="en-US"/>
        </w:rPr>
      </w:pPr>
      <w:r w:rsidRPr="00235DF0">
        <w:rPr>
          <w:sz w:val="24"/>
          <w:szCs w:val="24"/>
        </w:rPr>
        <w:t xml:space="preserve">от 14 апреля 2017 г. № </w:t>
      </w:r>
      <w:r w:rsidRPr="00235DF0">
        <w:rPr>
          <w:rStyle w:val="Bodytext218pt"/>
          <w:b w:val="0"/>
          <w:i w:val="0"/>
          <w:sz w:val="24"/>
          <w:szCs w:val="24"/>
          <w:lang w:val="en-US"/>
        </w:rPr>
        <w:t>9</w:t>
      </w:r>
    </w:p>
    <w:p w:rsidR="00235DF0" w:rsidRPr="00235DF0" w:rsidRDefault="00235DF0" w:rsidP="00235DF0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sz w:val="24"/>
          <w:szCs w:val="24"/>
          <w:lang w:val="en-US"/>
        </w:rPr>
      </w:pPr>
    </w:p>
    <w:p w:rsidR="004623F9" w:rsidRPr="00235DF0" w:rsidRDefault="00235DF0" w:rsidP="00235DF0">
      <w:pPr>
        <w:pStyle w:val="Bodytext30"/>
        <w:shd w:val="clear" w:color="auto" w:fill="auto"/>
        <w:spacing w:before="0" w:after="120" w:line="240" w:lineRule="auto"/>
        <w:ind w:right="40"/>
        <w:rPr>
          <w:sz w:val="24"/>
          <w:szCs w:val="24"/>
        </w:rPr>
      </w:pPr>
      <w:r w:rsidRPr="00235DF0">
        <w:rPr>
          <w:rStyle w:val="Bodytext3Spacing2pt"/>
          <w:b/>
          <w:bCs/>
          <w:spacing w:val="0"/>
          <w:sz w:val="24"/>
          <w:szCs w:val="24"/>
        </w:rPr>
        <w:t>ИЗМЕНЕНИЯ,</w:t>
      </w:r>
    </w:p>
    <w:p w:rsidR="004623F9" w:rsidRPr="00235DF0" w:rsidRDefault="00235DF0" w:rsidP="00235DF0">
      <w:pPr>
        <w:pStyle w:val="Bodytext30"/>
        <w:shd w:val="clear" w:color="auto" w:fill="auto"/>
        <w:spacing w:before="0" w:after="120" w:line="240" w:lineRule="auto"/>
        <w:ind w:left="2268" w:right="2260"/>
        <w:rPr>
          <w:sz w:val="24"/>
          <w:szCs w:val="24"/>
        </w:rPr>
      </w:pPr>
      <w:r w:rsidRPr="00235DF0">
        <w:rPr>
          <w:sz w:val="24"/>
          <w:szCs w:val="24"/>
        </w:rPr>
        <w:t>вносимые в Регламент работы Евразийской экономической комиссии</w:t>
      </w:r>
    </w:p>
    <w:p w:rsidR="00235DF0" w:rsidRPr="00235DF0" w:rsidRDefault="00235DF0" w:rsidP="00235DF0">
      <w:pPr>
        <w:pStyle w:val="Bodytext30"/>
        <w:shd w:val="clear" w:color="auto" w:fill="auto"/>
        <w:spacing w:before="0" w:after="120" w:line="240" w:lineRule="auto"/>
        <w:ind w:left="2268" w:right="2260"/>
        <w:rPr>
          <w:sz w:val="24"/>
          <w:szCs w:val="24"/>
        </w:rPr>
      </w:pP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1. В приложении № 1 к указанному Регламенту: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а)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пункты 5 и 6 изложить в следующей редакции: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«5. Определение категорий товаров, временное нахождение и использование которых на таможенной территории Союза в соответствии с таможенной процедурой временного ввоза (допуска) допускаются без уплаты ввозных таможенных пошлин, налогов, условий такого временного нахождения и использования, а также предельных сроков такого временного нахождения и использования.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6. Определение категорий товаров, в отношении которых применяется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специальная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таможенная процедура, помимо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предусмотренных Таможенным кодексом Евразийского экономического союза (далее - Таможенный кодекс Союза), включая определение товаров, относящихся или не относящихся к этим категориям товаров.»;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б)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дополнить пунктами 6</w:t>
      </w:r>
      <w:r w:rsidRPr="00235DF0">
        <w:rPr>
          <w:sz w:val="24"/>
          <w:szCs w:val="24"/>
          <w:vertAlign w:val="superscript"/>
        </w:rPr>
        <w:t>1</w:t>
      </w:r>
      <w:r w:rsidRPr="00235DF0">
        <w:rPr>
          <w:sz w:val="24"/>
          <w:szCs w:val="24"/>
        </w:rPr>
        <w:t xml:space="preserve"> - 6</w:t>
      </w:r>
      <w:r w:rsidRPr="00235DF0">
        <w:rPr>
          <w:sz w:val="24"/>
          <w:szCs w:val="24"/>
          <w:vertAlign w:val="superscript"/>
        </w:rPr>
        <w:t>4</w:t>
      </w:r>
      <w:r w:rsidRPr="00235DF0">
        <w:rPr>
          <w:sz w:val="24"/>
          <w:szCs w:val="24"/>
        </w:rPr>
        <w:t xml:space="preserve"> следующего содержания: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«6</w:t>
      </w:r>
      <w:r w:rsidRPr="00235DF0">
        <w:rPr>
          <w:sz w:val="24"/>
          <w:szCs w:val="24"/>
          <w:vertAlign w:val="superscript"/>
        </w:rPr>
        <w:t>1</w:t>
      </w:r>
      <w:r w:rsidRPr="00235DF0">
        <w:rPr>
          <w:sz w:val="24"/>
          <w:szCs w:val="24"/>
        </w:rPr>
        <w:t>. Определение товаров, относящихся либо не относящихся к предусмотренным Таможенным кодексом Союза категориям товаров, в отношении которых применяется специальная таможенная процедура, а также характеристик официальных международных выставок, для организации и проведения которых иностранные товары помещаются под специальную таможенную процедуру.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6</w:t>
      </w:r>
      <w:r w:rsidRPr="00235DF0">
        <w:rPr>
          <w:sz w:val="24"/>
          <w:szCs w:val="24"/>
          <w:vertAlign w:val="superscript"/>
        </w:rPr>
        <w:t>2</w:t>
      </w:r>
      <w:r w:rsidRPr="00235DF0">
        <w:rPr>
          <w:sz w:val="24"/>
          <w:szCs w:val="24"/>
        </w:rPr>
        <w:t xml:space="preserve"> . Определение в зависимости от категорий товаров, в отношении которых применяется специальная таможенная процедура, условий помещения товаров под специальную таможенную процедуру и порядка применения специальной таможенной процедуры.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6</w:t>
      </w:r>
      <w:r w:rsidRPr="00235DF0">
        <w:rPr>
          <w:sz w:val="24"/>
          <w:szCs w:val="24"/>
          <w:vertAlign w:val="superscript"/>
        </w:rPr>
        <w:t>3</w:t>
      </w:r>
      <w:r w:rsidRPr="00235DF0">
        <w:rPr>
          <w:sz w:val="24"/>
          <w:szCs w:val="24"/>
        </w:rPr>
        <w:t>. Определение дополнительных условий, при соблюдении которых лица, предусмотренные Таможенным кодексом Союза, могут выступать декларантами товаров, помещаемых под специальную таможенную процедуру, а также иных лиц и условий, при соблюдении которых такие лица могут выступать декларантами указанных товаров.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6</w:t>
      </w:r>
      <w:r w:rsidRPr="00235DF0">
        <w:rPr>
          <w:sz w:val="24"/>
          <w:szCs w:val="24"/>
          <w:vertAlign w:val="superscript"/>
        </w:rPr>
        <w:t>4</w:t>
      </w:r>
      <w:r w:rsidRPr="00235DF0">
        <w:rPr>
          <w:sz w:val="24"/>
          <w:szCs w:val="24"/>
        </w:rPr>
        <w:t xml:space="preserve">. Определение случаев и порядка принятия мер по защите прав на объекты интеллектуальной собственности в отношении отдельных категорий товаров, к </w:t>
      </w:r>
      <w:r w:rsidRPr="00235DF0">
        <w:rPr>
          <w:sz w:val="24"/>
          <w:szCs w:val="24"/>
        </w:rPr>
        <w:lastRenderedPageBreak/>
        <w:t>которым применяется специальная таможенная процедура.»;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в)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дополнить пунктом 7</w:t>
      </w:r>
      <w:r w:rsidRPr="00235DF0">
        <w:rPr>
          <w:sz w:val="24"/>
          <w:szCs w:val="24"/>
          <w:vertAlign w:val="superscript"/>
        </w:rPr>
        <w:t>1</w:t>
      </w:r>
      <w:r w:rsidRPr="00235DF0">
        <w:rPr>
          <w:sz w:val="24"/>
          <w:szCs w:val="24"/>
        </w:rPr>
        <w:t xml:space="preserve"> следующего содержания: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«7</w:t>
      </w:r>
      <w:r w:rsidRPr="00235DF0">
        <w:rPr>
          <w:sz w:val="24"/>
          <w:szCs w:val="24"/>
          <w:vertAlign w:val="superscript"/>
        </w:rPr>
        <w:t>1</w:t>
      </w:r>
      <w:r w:rsidRPr="00235DF0">
        <w:rPr>
          <w:sz w:val="24"/>
          <w:szCs w:val="24"/>
        </w:rPr>
        <w:t>. Определение для случаев предоставления тарифных льгот в виде снижения ставки ввозной таможенной пошлины в отношении товаров, ввозимых (ввезенных) на таможенную территорию Союза, иных обстоятельств, чем предусмотренные Таможенным кодексом Союза, при наступлении которых прекращается обязанность по уплате ввозных таможенных пошлин и (или) наступает срок уплаты ввозных таможенных пошлин.»;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г)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дополнить пунктами 12 - 12 следующего содержания: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«12</w:t>
      </w:r>
      <w:r w:rsidRPr="00235DF0">
        <w:rPr>
          <w:sz w:val="24"/>
          <w:szCs w:val="24"/>
          <w:vertAlign w:val="superscript"/>
        </w:rPr>
        <w:t>1</w:t>
      </w:r>
      <w:r w:rsidRPr="00235DF0">
        <w:rPr>
          <w:sz w:val="24"/>
          <w:szCs w:val="24"/>
        </w:rPr>
        <w:t>. Утверждение правил определения происхождения товаров, вывозимых с таможенной территории Союза.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</w:t>
      </w:r>
      <w:r w:rsidRPr="00235DF0">
        <w:rPr>
          <w:sz w:val="24"/>
          <w:szCs w:val="24"/>
          <w:vertAlign w:val="superscript"/>
        </w:rPr>
        <w:t>2</w:t>
      </w:r>
      <w:r w:rsidRPr="00235DF0">
        <w:rPr>
          <w:sz w:val="24"/>
          <w:szCs w:val="24"/>
        </w:rPr>
        <w:t>. Определение случаев и условий восстановления тарифных преференций.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</w:t>
      </w:r>
      <w:r w:rsidRPr="00235DF0">
        <w:rPr>
          <w:sz w:val="24"/>
          <w:szCs w:val="24"/>
          <w:vertAlign w:val="superscript"/>
        </w:rPr>
        <w:t>3</w:t>
      </w:r>
      <w:r w:rsidRPr="00235DF0">
        <w:rPr>
          <w:sz w:val="24"/>
          <w:szCs w:val="24"/>
        </w:rPr>
        <w:t>. Определение случаев, когда происхождение товара считается неподтвержденным, помимо предусмотренных Таможенным кодексом Союза.»;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д)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в пунктах 114, 116 и 117 слова «с использованием» заменить словом «из»;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е)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 xml:space="preserve">пункты </w:t>
      </w:r>
      <w:r w:rsidRPr="00235DF0">
        <w:rPr>
          <w:rStyle w:val="Bodytext2Spacing2pt"/>
          <w:spacing w:val="0"/>
          <w:sz w:val="24"/>
          <w:szCs w:val="24"/>
        </w:rPr>
        <w:t>118-121</w:t>
      </w:r>
      <w:r w:rsidRPr="00235DF0">
        <w:rPr>
          <w:sz w:val="24"/>
          <w:szCs w:val="24"/>
        </w:rPr>
        <w:t xml:space="preserve"> изложить в следующей редакции: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«118. Определение перечня товаров и (или) категорий товаров, в отношении которых не применяется таможенная процедура свободного склада.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119.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перечня условий, производственных и технологических операций, достаточных для признания товаров, изготовленных (полученных) из иностранных товаров, помещенных под таможенную процедуру свободного склада, товарами Союза.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120.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перечня операций, совершение которых не отвечает критериям достаточной переработки при определении статуса товаров, изготовленных (полученных) из иностранных товаров, помещенных под таможенную процедуру свободного склада.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121.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порядка использования правила адвалорной доли в качестве критерия достаточной переработки товаров, изготовленных (полученных) из иностранных товаров, помещенных под таможенную процедуру свободного склада.»;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ж)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дополнить пунктом 121</w:t>
      </w:r>
      <w:r w:rsidRPr="00235DF0">
        <w:rPr>
          <w:sz w:val="24"/>
          <w:szCs w:val="24"/>
          <w:vertAlign w:val="superscript"/>
        </w:rPr>
        <w:t>1</w:t>
      </w:r>
      <w:r w:rsidRPr="00235DF0">
        <w:rPr>
          <w:sz w:val="24"/>
          <w:szCs w:val="24"/>
        </w:rPr>
        <w:t xml:space="preserve"> следующего содержания: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«121</w:t>
      </w:r>
      <w:r w:rsidRPr="00235DF0">
        <w:rPr>
          <w:sz w:val="24"/>
          <w:szCs w:val="24"/>
          <w:vertAlign w:val="superscript"/>
        </w:rPr>
        <w:t>1</w:t>
      </w:r>
      <w:r w:rsidRPr="00235DF0">
        <w:rPr>
          <w:sz w:val="24"/>
          <w:szCs w:val="24"/>
        </w:rPr>
        <w:t>.Утверждение порядка определения расчетной стоимости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товаров, изготовленных (полученных) из иностранных товаров, помещенных под таможенную процедуру свободного склада, когда такая расчетная стоимость товаров является базой для исчисления ввозных таможенных пошлин по адвалорной ставке.»;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з)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пункты 124 - 128 изложить в следующей редакции: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 xml:space="preserve">«124. Определение перечня товаров и (или) категорий товаров, которые не </w:t>
      </w:r>
      <w:r w:rsidRPr="00235DF0">
        <w:rPr>
          <w:sz w:val="24"/>
          <w:szCs w:val="24"/>
        </w:rPr>
        <w:lastRenderedPageBreak/>
        <w:t>подлежат помещению под таможенную процедуру свободной таможенной зоны.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125.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перечня действий, в том числе операций, которые не могут совершаться с товарами, помещенными под таможенную процедуру свободной таможенной зоны.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126.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перечня условий, производственных и технологических операций, достаточных для признания товаров, изготовленных (полученных) из иностранных товаров, помещенных под таможенную процедуру свободной таможенной зоны, товарами Союза.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127.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перечня операций, совершение которых не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отвечает критериям достаточной переработки при определении статуса товаров,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изготовленных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(полученных) из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иностранных товаров,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помещенных под таможенную процедуру свободной таможенной зоны.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128.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порядка использования правила адвалорной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доли в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качестве критерия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достаточной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переработки товаров,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изготовленных (полученных) из иностранных товаров, помещенных под таможенную процедуру свободной таможенной зоны.»;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и)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дополнить пунктами 128</w:t>
      </w:r>
      <w:r w:rsidRPr="00235DF0">
        <w:rPr>
          <w:sz w:val="24"/>
          <w:szCs w:val="24"/>
          <w:vertAlign w:val="superscript"/>
        </w:rPr>
        <w:t>1</w:t>
      </w:r>
      <w:r w:rsidRPr="00235DF0">
        <w:rPr>
          <w:sz w:val="24"/>
          <w:szCs w:val="24"/>
        </w:rPr>
        <w:t xml:space="preserve"> - 128</w:t>
      </w:r>
      <w:r w:rsidRPr="00235DF0">
        <w:rPr>
          <w:sz w:val="24"/>
          <w:szCs w:val="24"/>
          <w:vertAlign w:val="superscript"/>
        </w:rPr>
        <w:t>6</w:t>
      </w:r>
      <w:r w:rsidRPr="00235DF0">
        <w:rPr>
          <w:sz w:val="24"/>
          <w:szCs w:val="24"/>
        </w:rPr>
        <w:t xml:space="preserve"> следующего содержания: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«128</w:t>
      </w:r>
      <w:r w:rsidRPr="00235DF0">
        <w:rPr>
          <w:sz w:val="24"/>
          <w:szCs w:val="24"/>
          <w:vertAlign w:val="superscript"/>
        </w:rPr>
        <w:t>1</w:t>
      </w:r>
      <w:r w:rsidRPr="00235DF0">
        <w:rPr>
          <w:sz w:val="24"/>
          <w:szCs w:val="24"/>
        </w:rPr>
        <w:t>. Определение случаев и (или) условий, при которых с разрешения таможенного органа государства-члена в случаях, предусмотренных Таможенным кодексом Союза, допускается вывоз товаров,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помещенных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под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таможенную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процедуру свободной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таможенной зоны, и (или) товаров, изготовленных (полученных) из товаров,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помещенных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под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таможенную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процедуру свободной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таможенной зоны, с территории свободной (специальной, особой) экономической зоны без завершения действия таможенной процедуры свободной таможенной зоны, а также определение части территории государства-члена, на которую допускается такой вывоз.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128</w:t>
      </w:r>
      <w:r w:rsidRPr="00235DF0">
        <w:rPr>
          <w:sz w:val="24"/>
          <w:szCs w:val="24"/>
          <w:vertAlign w:val="superscript"/>
        </w:rPr>
        <w:t>2</w:t>
      </w:r>
      <w:r w:rsidRPr="00235DF0">
        <w:rPr>
          <w:sz w:val="24"/>
          <w:szCs w:val="24"/>
        </w:rPr>
        <w:t xml:space="preserve"> . Определение помимо предусмотренных Таможенным кодексом Союза операций, для совершения которых в случае, предусмотренном Таможенным кодексом Союза, с разрешения таможенного органа государства-члена допускается вывоз товаров, помещенных под таможенную процедуру свободной таможенной зоны, и (или) товаров, изготовленных (полученных) из товаров, помещенных под таможенную процедуру свободной таможенной зоны, с территории свободной (специальной, особой) экономической зоны без завершения действия таможенной процедуры свободной таможенной зоны.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128</w:t>
      </w:r>
      <w:r w:rsidRPr="00235DF0">
        <w:rPr>
          <w:sz w:val="24"/>
          <w:szCs w:val="24"/>
          <w:vertAlign w:val="superscript"/>
        </w:rPr>
        <w:t>3</w:t>
      </w:r>
      <w:r w:rsidRPr="00235DF0">
        <w:rPr>
          <w:sz w:val="24"/>
          <w:szCs w:val="24"/>
        </w:rPr>
        <w:t xml:space="preserve"> . Определение случаев, когда на территории свободной (специальной, особой) экономической зоны допускается потребление товаров, помещенных под таможенную процедуру свободной таможенной зоны, и (или) товаров, изготовленных (полученных) из товаров, помещенных под таможенную процедуру свободной таможенной зоны, иное, чем расходование (потребление) товаров при совершении предусмотренных Таможенным кодексом Союза операций по </w:t>
      </w:r>
      <w:r w:rsidRPr="00235DF0">
        <w:rPr>
          <w:sz w:val="24"/>
          <w:szCs w:val="24"/>
        </w:rPr>
        <w:lastRenderedPageBreak/>
        <w:t>переработке товаров, помещенных под таможенную процедуру свободной таможенной зоны.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128</w:t>
      </w:r>
      <w:r w:rsidRPr="00235DF0">
        <w:rPr>
          <w:sz w:val="24"/>
          <w:szCs w:val="24"/>
          <w:vertAlign w:val="superscript"/>
        </w:rPr>
        <w:t>4</w:t>
      </w:r>
      <w:r w:rsidRPr="00235DF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порядка завершения действия таможенной процедуры свободной таможенной зоны в случаях, предусмотренных Таможенным кодексом Союза.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128</w:t>
      </w:r>
      <w:r w:rsidRPr="00235DF0">
        <w:rPr>
          <w:sz w:val="24"/>
          <w:szCs w:val="24"/>
          <w:vertAlign w:val="superscript"/>
        </w:rPr>
        <w:t>5</w:t>
      </w:r>
      <w:r w:rsidRPr="00235DF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лиц государств-членов, не являющихся резидентами (участниками, субъектами) свободных (специальных, особых) экономических зон, и случаев, когда эти лица могут выступать декларантами товаров, помещаемых под таможенную процедуру свободной таможенной зоны.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128</w:t>
      </w:r>
      <w:r w:rsidRPr="00235DF0">
        <w:rPr>
          <w:sz w:val="24"/>
          <w:szCs w:val="24"/>
          <w:vertAlign w:val="superscript"/>
        </w:rPr>
        <w:t>6</w:t>
      </w:r>
      <w:r w:rsidRPr="00235DF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Утверждение порядка определения расчетной стоимости товаров, изготовленных (полученных) из иностранных товаров, помещенных под таможенную процедуру свободной таможенной зоны, в случае, если такая расчетная стоимость товаров является базой для исчисления ввозных таможенных пошлин по адвалорной ставке.»;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к)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пункт 129 изложить в следующей редакции: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«129. Определение случаев, когда товары Союза могут не находиться на территории государства-члена, таможенному органу которого подается таможенная декларация в отношении таких товаров, а также особенностей совершения таможенных операций в этих случаях.»;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л)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дополнить пунктами 129</w:t>
      </w:r>
      <w:r w:rsidRPr="00235DF0">
        <w:rPr>
          <w:sz w:val="24"/>
          <w:szCs w:val="24"/>
          <w:vertAlign w:val="superscript"/>
        </w:rPr>
        <w:t>1</w:t>
      </w:r>
      <w:r w:rsidRPr="00235DF0">
        <w:rPr>
          <w:sz w:val="24"/>
          <w:szCs w:val="24"/>
        </w:rPr>
        <w:t>- 129</w:t>
      </w:r>
      <w:r w:rsidRPr="00235DF0">
        <w:rPr>
          <w:sz w:val="24"/>
          <w:szCs w:val="24"/>
          <w:vertAlign w:val="superscript"/>
        </w:rPr>
        <w:t>30</w:t>
      </w:r>
      <w:r w:rsidRPr="00235DF0">
        <w:rPr>
          <w:sz w:val="24"/>
          <w:szCs w:val="24"/>
        </w:rPr>
        <w:t xml:space="preserve"> следующего содержания: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«129</w:t>
      </w:r>
      <w:r w:rsidRPr="00235DF0">
        <w:rPr>
          <w:sz w:val="24"/>
          <w:szCs w:val="24"/>
          <w:vertAlign w:val="superscript"/>
        </w:rPr>
        <w:t>1</w:t>
      </w:r>
      <w:r w:rsidRPr="00235DF0">
        <w:rPr>
          <w:sz w:val="24"/>
          <w:szCs w:val="24"/>
        </w:rPr>
        <w:t>. Определение случаев предоставления обеспечения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исполнения обязанности по уплате специальных, антидемпинговых, компенсационных пошлин в отношении иностранных товаров, помещаемых под таможенную процедуру таможенного транзита.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2</w:t>
      </w:r>
      <w:r w:rsidRPr="00235DF0">
        <w:rPr>
          <w:sz w:val="24"/>
          <w:szCs w:val="24"/>
        </w:rPr>
        <w:t>. Определение размера суммы, который не должна превышать общая таможенная стоимость товаров, помещаемых под таможенную процедуру выпуска для внутреннего потребления и ввозимых в адрес одного получателя от одного отправителя по одному транспортному (перевозочному) документу, и в пределах которого обязанность по уплате ввозных таможенных пошлин, налогов в отношении таких товаров не возникает.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3</w:t>
      </w:r>
      <w:r w:rsidRPr="00235DF0">
        <w:rPr>
          <w:sz w:val="24"/>
          <w:szCs w:val="24"/>
        </w:rPr>
        <w:t>. Определение размера суммы, который не должна превышать общая таможенная стоимость товаров, помещаемых под таможенную процедуру временного ввоза (допуска) и ввозимых в адрес одного получателя от одного отправителя по одному транспортному (перевозочному) документу, и в пределах которого обязанность по уплате ввозных таможенных пошлин, налогов в отношении таких товаров не возникает.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4</w:t>
      </w:r>
      <w:r w:rsidRPr="00235DF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 xml:space="preserve">Определение перечня товаров Союза, в отношении которых законодательством государств-членов установлены ставки вывозных таможенных пошлин, которые не могут использоваться при совершении операций по переработке на таможенной территории Союза, а также определение случаев, когда товары, </w:t>
      </w:r>
      <w:r w:rsidRPr="00235DF0">
        <w:rPr>
          <w:sz w:val="24"/>
          <w:szCs w:val="24"/>
        </w:rPr>
        <w:lastRenderedPageBreak/>
        <w:t>включенные в этот перечень, могут использоваться при совершении операций по переработке на таможенной территории Союза.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5</w:t>
      </w:r>
      <w:r w:rsidRPr="00235DF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случаев, условий и порядка завершения действия таможенной процедуры переработки вне таможенной территории помещением продуктов переработки под таможенную процедуру экспорта, а также особенностей исчисления и уплаты вывозных таможенных пошлин, налогов в отношении продуктов переработки, помещаемых под таможенную процедуру экспорта в этих случаях.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6</w:t>
      </w:r>
      <w:r w:rsidRPr="00235DF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перечня посадочного или посевного материала, средств защиты растений, сельскохозяйственной техники, объектов племенного животноводства (племенных сельскохозяйственных животных, птицы, рыбы и других объектов племенного животноводства), племенной продукции (материала), продуктов, используемых для кормления животных, в отношении которых при их ввозе на таможенную территорию Союза организациями государств- членов, осуществляющими сельскохозяйственную деятельность, либо при их поставке для указанных организаций может предоставляться отсрочка или рассрочка уплаты ввозных таможенных пошлин.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7</w:t>
      </w:r>
      <w:r w:rsidRPr="00235DF0">
        <w:rPr>
          <w:sz w:val="24"/>
          <w:szCs w:val="24"/>
        </w:rPr>
        <w:t xml:space="preserve"> . Определение оснований предоставления отсрочки или рассрочки уплаты ввозных таможенных пошлин помимо предусмотренных Таможенным кодексом Союза.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8</w:t>
      </w:r>
      <w:r w:rsidRPr="00235DF0">
        <w:rPr>
          <w:sz w:val="24"/>
          <w:szCs w:val="24"/>
        </w:rPr>
        <w:t xml:space="preserve"> . Определение перечня товаров, в том числе сырья, материалов, технологического оборудования, комплектующих и запасных частей к нему, в отношении которых при их ввозе на таможенную территорию Союза для использования в промышленной переработке может предоставляться отсрочка или рассрочка уплаты ввозных таможенных пошлин, а также определение условий отнесения таких товаров к предназначенным для использования в промышленной переработке.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9</w:t>
      </w:r>
      <w:r w:rsidRPr="00235DF0">
        <w:rPr>
          <w:sz w:val="24"/>
          <w:szCs w:val="24"/>
        </w:rPr>
        <w:t>. Определение размера обеспечения исполнения обязанностей юридического лица, осуществляющего деятельность в сфере таможенного дела в качестве таможенного представителя.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10</w:t>
      </w:r>
      <w:r w:rsidRPr="00235DF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иного размера обеспечения исполнения обязанностей юридического лица, осуществляющего деятельность в сфере таможенного дела в качестве таможенного перевозчика, чем предусмотренный Таможенным кодексом Союза.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11</w:t>
      </w:r>
      <w:r w:rsidRPr="00235DF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Утверждение порядка определения финансовой устойчивости юридического лица, претендующего на включение в реестр уполномоченных экономических операторов, и значений, характеризующих финансовую устойчивость и необходимых для включения юридического лица в этот реестр.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12</w:t>
      </w:r>
      <w:r w:rsidRPr="00235DF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количественных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характеристик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 xml:space="preserve">предусмотренных Таможенным кодексом Союза критериев отнесения товаров, перемещаемых через таможенную границу Союза, к товарам для личного пользования и (или) </w:t>
      </w:r>
      <w:r w:rsidRPr="00235DF0">
        <w:rPr>
          <w:sz w:val="24"/>
          <w:szCs w:val="24"/>
        </w:rPr>
        <w:lastRenderedPageBreak/>
        <w:t>дополнительных критериев отнесения товаров, перемещаемых через таможенную границу Союза, к товарам для личного пользования.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13</w:t>
      </w:r>
      <w:r w:rsidRPr="00235DF0">
        <w:rPr>
          <w:sz w:val="24"/>
          <w:szCs w:val="24"/>
        </w:rPr>
        <w:t>. Определение категорий товаров, которые не относятся к товарам для личного пользования.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14</w:t>
      </w:r>
      <w:r w:rsidRPr="00235DF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единых ставок таможенных пошлин, налогов, а также категорий товаров для личного пользования, в отношении которых подлежат уплате таможенные пошлины, налоги, взимаемые в виде совокупного таможенного платежа.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15</w:t>
      </w:r>
      <w:r w:rsidRPr="00235DF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стоимостных, весовых и (или) количественных норм ввоза на таможенную территорию Союза товаров для личного пользования без уплаты таможенных пошлин, налогов, порядка применения таких норм, определение критериев отнесения товаров для личного пользования к бывшим в употреблении и не подлежащим учету при определении таких норм ввоза на таможенную территорию Союза товаров для личного пользования в сопровождаемом и (или) несопровождаемом багаже, а также определение категорий товаров, в отношении которых законодательством государств-членов могут быть установлены более жесткие, чем определенные Комиссией, стоимостные, весовые и (или) количественные нормы ввоза на таможенную территорию Союза товаров для личного пользования без уплаты таможенных пошлин, налогов.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16</w:t>
      </w:r>
      <w:r w:rsidRPr="00235DF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перечня и количества бывших в употреблении товаров для личного пользования, которые могут ввозиться иностранными физическими лицами на период своего пребывания на таможенной территории Союза без уплаты таможенных пошлин, налогов независимо от стоимости и (или) веса таких товаров.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17</w:t>
      </w:r>
      <w:r w:rsidRPr="00235DF0">
        <w:rPr>
          <w:sz w:val="24"/>
          <w:szCs w:val="24"/>
        </w:rPr>
        <w:t>. Определение случаев и условий ввоза на таможенную территорию Союза товаров для личного пользования с освобождением от уплаты таможенных пошлин, налогов, а также ограничений по пользованию и (или) распоряжению такими товарами для личного пользования.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18</w:t>
      </w:r>
      <w:r w:rsidRPr="00235DF0">
        <w:rPr>
          <w:sz w:val="24"/>
          <w:szCs w:val="24"/>
        </w:rPr>
        <w:t>. Определение случаев осуществления таможенного декларирования товаров для личного пользования лицом, действующим от имени и по поручению декларанта и не являющимся таможенным представителем.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19</w:t>
      </w:r>
      <w:r w:rsidRPr="00235DF0">
        <w:rPr>
          <w:sz w:val="24"/>
          <w:szCs w:val="24"/>
        </w:rPr>
        <w:t>. Определение обстоятельств, при которых прекращается обязанность по уплате таможенных пошлин, налогов в случаях, когда в отношении одних и тех же товаров для личного пользования обязанность по уплате таможенных пошлин, налогов возникла у разных лиц, по разным обстоятельствам и (или) неоднократно, а также порядка взаимодействия таможенных органов государств-членов по подтверждению наступления таких обстоятельств.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20</w:t>
      </w:r>
      <w:r w:rsidRPr="00235DF0">
        <w:rPr>
          <w:sz w:val="24"/>
          <w:szCs w:val="24"/>
        </w:rPr>
        <w:t>. Определение порядка доступа к местам установки приборов учета товаров, перемещаемых трубопроводным транспортом или по линиям электропередачи, порядка взаимодействия таможенных органов государств-членов, применяемых форм таможенного контроля, а также перечня мест установки указанных приборов учета.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lastRenderedPageBreak/>
        <w:t>129</w:t>
      </w:r>
      <w:r w:rsidRPr="00235DF0">
        <w:rPr>
          <w:sz w:val="24"/>
          <w:szCs w:val="24"/>
          <w:vertAlign w:val="superscript"/>
        </w:rPr>
        <w:t>21</w:t>
      </w:r>
      <w:r w:rsidRPr="00235DF0">
        <w:rPr>
          <w:sz w:val="24"/>
          <w:szCs w:val="24"/>
        </w:rPr>
        <w:t xml:space="preserve"> . Определение порядка принятия таможенными органами государств-членов мер по защите прав на объекты интеллектуальной собственности в отношении товаров, содержащих такие объекты интеллектуальной собственности, как наименования мест происхождения товаров, включенные в единый таможенный реестр объектов интеллектуальной собственности государств-членов.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22</w:t>
      </w:r>
      <w:r w:rsidRPr="00235DF0">
        <w:rPr>
          <w:sz w:val="24"/>
          <w:szCs w:val="24"/>
        </w:rPr>
        <w:t>. Определение в соответствии с Таможенным кодексом Союза вопросов, по которым таможенные органы государств-членов принимают предварительные решения, и порядка их принятия.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23</w:t>
      </w:r>
      <w:r w:rsidRPr="00235DF0">
        <w:rPr>
          <w:sz w:val="24"/>
          <w:szCs w:val="24"/>
        </w:rPr>
        <w:t>. Утверждение перечня категорий товаров, которые могут быть заявлены к выпуску до подачи декларации на товары и ввозятся отдельными категориями юридических лиц, а также определение критериев, которым должны отвечать такие юридические лица.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24</w:t>
      </w:r>
      <w:r w:rsidRPr="00235DF0">
        <w:rPr>
          <w:sz w:val="24"/>
          <w:szCs w:val="24"/>
        </w:rPr>
        <w:t>. Определение случаев, когда товары Союза, перевозимые (транспортируемые) с одной части таможенной территории Союза на другую часть таможенной территории Союза через территории государств, не являющихся членами Союза, и (или) морем, утрачивают статус товаров Союза и при ввозе на таможенную территорию Союза рассматриваются как иностранные товары.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25</w:t>
      </w:r>
      <w:r w:rsidRPr="00235DF0">
        <w:rPr>
          <w:sz w:val="24"/>
          <w:szCs w:val="24"/>
        </w:rPr>
        <w:t xml:space="preserve"> Определение случаев, когда при периодическом таможенном декларировании допускается ввоз товаров на таможенную территорию Союза или вывоз товаров с таможенной территории Союза в количестве, превышающем количество, заявленное в декларации на товары.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26</w:t>
      </w:r>
      <w:r w:rsidRPr="00235DF0">
        <w:rPr>
          <w:sz w:val="24"/>
          <w:szCs w:val="24"/>
        </w:rPr>
        <w:t xml:space="preserve"> . Определение из товаров, в отношении которых в соответствии с международными договорами в рамках Союза или международными договорами о вступлении в Союз предусмотрено применение более низких ставок ввозных таможенных пошлин, чем установленные Единым таможенным тарифом Евразийского экономического союза, перечня (перечней) товаров, которые приобретают статус товаров Союза по истечении 5 лет со дня выпуска товаров в соответствии с таможенной процедурой выпуска для внутреннего потребления либо по истечении более продолжительного срока, а также установление такого более продолжительного срока.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27</w:t>
      </w:r>
      <w:r w:rsidRPr="00235DF0">
        <w:rPr>
          <w:sz w:val="24"/>
          <w:szCs w:val="24"/>
        </w:rPr>
        <w:t xml:space="preserve"> Определение обстоятельств, при которых прекращается обязанность по уплате таможенных пошлин, налогов, специальных, антидемпинговых, компенсационных пошлин в случаях, когда в отношении одних и тех же товаров обязанность по уплате таможенных пошлин, налогов, специальных, антидемпинговых, компенсационных пошлин возникла у разных лиц, по разным обстоятельствам и (или) неоднократно, а также порядка взаимодействия таможенных органов государств-членов по подтверждению наступления таких обстоятельств.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28</w:t>
      </w:r>
      <w:r w:rsidRPr="00235DF0">
        <w:rPr>
          <w:sz w:val="24"/>
          <w:szCs w:val="24"/>
        </w:rPr>
        <w:t xml:space="preserve">. Определение особенностей исполнения обязанности по уплате таможенных пошлин, налогов, специальных, антидемпинговых, компенсационных пошлин в случаях, когда в отношении одних и тех же товаров обязанность по уплате </w:t>
      </w:r>
      <w:r w:rsidRPr="00235DF0">
        <w:rPr>
          <w:sz w:val="24"/>
          <w:szCs w:val="24"/>
        </w:rPr>
        <w:lastRenderedPageBreak/>
        <w:t>таможенных пошлин, налогов, специальных, антидемпинговых, компенсационных пошлин возникла у разных лиц, по разным обстоятельствам и (или) неоднократно.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29</w:t>
      </w:r>
      <w:r w:rsidRPr="00235DF0">
        <w:rPr>
          <w:sz w:val="24"/>
          <w:szCs w:val="24"/>
        </w:rPr>
        <w:t>. Определение специальных упрощений, предоставляемых уполномоченным экономическим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операторам,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помимо</w:t>
      </w:r>
      <w:r w:rsidRPr="00235DF0">
        <w:rPr>
          <w:sz w:val="24"/>
          <w:szCs w:val="24"/>
          <w:lang w:eastAsia="en-US" w:bidi="en-US"/>
        </w:rPr>
        <w:t xml:space="preserve"> </w:t>
      </w:r>
      <w:r w:rsidRPr="00235DF0">
        <w:rPr>
          <w:sz w:val="24"/>
          <w:szCs w:val="24"/>
        </w:rPr>
        <w:t>предусмотренных Таможенным кодексом Союза.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129</w:t>
      </w:r>
      <w:r w:rsidRPr="00235DF0">
        <w:rPr>
          <w:sz w:val="24"/>
          <w:szCs w:val="24"/>
          <w:vertAlign w:val="superscript"/>
        </w:rPr>
        <w:t>30</w:t>
      </w:r>
      <w:r w:rsidRPr="00235DF0">
        <w:rPr>
          <w:sz w:val="24"/>
          <w:szCs w:val="24"/>
        </w:rPr>
        <w:t xml:space="preserve"> Определение состава сведений о перемещении товаров и транспортных средств через таможенную границу Союза, представляемых таможенными органами государств-членов для проведения Комиссией анализа состояния, динамики и тенденций развития таможенной инфраструктуры в местах перемещения товаров через таможенную границу Союза.».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2. Приложение № 2 к указанному Регламенту дополнить пунктами 33 -44 следующего содержания: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«33. Определение состава предварительной информации, порядка и сроков представления предварительной информации, лиц, которые обязаны либо вправе представлять предварительную информацию таможенным органам государств-членов, в зависимости от вида транспорта, которым осуществляется перевозка (транспортировка) товаров, и целей ее использования таможенным органом государства- члена.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34.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типовых требований к обустройству и техническому оснащению элементов таможенной инфраструктуры, расположенных в местах перемещения товаров через таможенную границу Союза.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35.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типовых требований к системе учета товаров, позволяющей сопоставлять сведения, представленные таможенным органам государств-членов при совершении таможенных операций, со сведениями о проведении хозяйственных операций и обеспечивающей доступ (в том числе удаленный) таможенных органов государств-членов к таким сведениям.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36.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случаев и (или) категорий товаров, при которых и (или) в отношении которых отдельные специальные упрощения не применяются.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37.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перечня товаров, в отношении которых таможенными органами государств-членов принимаются решения о классификации товаров, перемещаемых через таможенную границу Союза в несобранном или разобранном виде, в том числе в некомплектном или незавершенном виде, в целях осуществления таможенного декларирования с особенностями, определенными для товаров, перемещаемых через таможенную границу Союза в несобранном или разобранном виде, в том числе в некомплектном или незавершенном виде.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38.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 xml:space="preserve">Определение порядка использования имеющихся сведений для определения суммы таможенных пошлин, налогов и (или) специальных, антидемпинговых, компенсационных пошлин, исходя из которых определяется размер обеспечения исполнения обязанности по уплате таможенных пошлин, налогов и (или) специальных, антидемпинговых, компенсационных пошлин в </w:t>
      </w:r>
      <w:r w:rsidRPr="00235DF0">
        <w:rPr>
          <w:sz w:val="24"/>
          <w:szCs w:val="24"/>
        </w:rPr>
        <w:lastRenderedPageBreak/>
        <w:t>случаях, предусмотренных Таможенным кодексом Союза.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39.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случаев, когда меры по взысканию ввозных таможенных пошлин, специальных, антидемпинговых, компенсационных пошлин не принимаются, помимо предусмотренных Таможенным кодексом Союза.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40.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дня, который в случае добровольной уплаты ввозных таможенных пошлин считается сроком уплаты ввозных таможенных пошлин в отношении товаров, помещенных под таможенную процедуру выпуска для внутреннего потребления с уплатой в соответствии с международными договорами в рамках Союза или международными договорами о вступлении в Союз ввозных таможенных пошлин по более низким ставкам ввозных таможенных пошлин, чем установленные Единым таможенным тарифом Евразийского экономического союза.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41.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особенностей определения размера обеспечения исполнения обязанности по уплате таможенных пошлин, налогов и размера обеспечения исполнения обязанности по уплате специальных, антидемпинговых, компенсационных пошлин при помещении под таможенную процедуру таможенного транзита товаров (компонентов товаров), перемещаемых через таможенную границу Союза в несобранном или разобранном виде, в том числе в некомплектном или незавершенном виде.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42.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случаев, когда представление решения о классификации товаров, перемещаемых через таможенную границу Союза в несобранном или разобранном виде, в том числе некомплектном или незавершенном виде, является условием, при соблюдении которого товары, помещенные под таможенную процедуру таможенного склада в несобранном или разобранном виде, в том числе в некомплектном или незавершенном виде, могут помещаться под иные таможенные процедуры для завершения действия таможенной процедуры таможенного склада с заявлением кода товара в соответствии с Товарной номенклатурой внешнеэкономической деятельности Евразийского экономического союза, соответствующего коду товара в комплектном или завершенном виде.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43.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операций, которые не относятся к операциям по переработке на таможенной территории Союза, помимо предусмотренных Таможенным кодексом Союза.</w:t>
      </w:r>
    </w:p>
    <w:p w:rsidR="004623F9" w:rsidRPr="00235DF0" w:rsidRDefault="00235DF0" w:rsidP="00235DF0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235DF0">
        <w:rPr>
          <w:sz w:val="24"/>
          <w:szCs w:val="24"/>
        </w:rPr>
        <w:t>44.</w:t>
      </w:r>
      <w:r>
        <w:rPr>
          <w:sz w:val="24"/>
          <w:szCs w:val="24"/>
        </w:rPr>
        <w:t xml:space="preserve"> </w:t>
      </w:r>
      <w:r w:rsidRPr="00235DF0">
        <w:rPr>
          <w:sz w:val="24"/>
          <w:szCs w:val="24"/>
        </w:rPr>
        <w:t>Определение условий, при соблюдении которых обеспечение исполнения обязанности по уплате таможенных пошлин, налогов, специальных, антидемпинговых, компенсационных пошлин может не предоставляться в случае, если таможенные операции от имени и по поручению декларанта совершает таможенный представитель и такой таможенный представитель в соответствии Таможенным кодексом Союза несет с декларантом солидарную обязанность по уплате таможенных пошлин, налогов, специальных, антидемпинговых, компенсационных пошлин.».</w:t>
      </w:r>
    </w:p>
    <w:sectPr w:rsidR="004623F9" w:rsidRPr="00235DF0" w:rsidSect="00235DF0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3F9" w:rsidRDefault="004623F9" w:rsidP="004623F9">
      <w:r>
        <w:separator/>
      </w:r>
    </w:p>
  </w:endnote>
  <w:endnote w:type="continuationSeparator" w:id="0">
    <w:p w:rsidR="004623F9" w:rsidRDefault="004623F9" w:rsidP="00462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3F9" w:rsidRDefault="004623F9"/>
  </w:footnote>
  <w:footnote w:type="continuationSeparator" w:id="0">
    <w:p w:rsidR="004623F9" w:rsidRDefault="004623F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3F9"/>
    <w:rsid w:val="00235DF0"/>
    <w:rsid w:val="004623F9"/>
    <w:rsid w:val="00E5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623F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623F9"/>
    <w:rPr>
      <w:color w:val="000080"/>
      <w:u w:val="single"/>
    </w:rPr>
  </w:style>
  <w:style w:type="character" w:customStyle="1" w:styleId="Heading1">
    <w:name w:val="Heading #1_"/>
    <w:basedOn w:val="DefaultParagraphFont"/>
    <w:link w:val="Heading10"/>
    <w:rsid w:val="004623F9"/>
    <w:rPr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">
    <w:name w:val="Table caption_"/>
    <w:basedOn w:val="DefaultParagraphFont"/>
    <w:link w:val="Tablecaption0"/>
    <w:rsid w:val="004623F9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sid w:val="004623F9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aliases w:val="Spacing 2 pt"/>
    <w:basedOn w:val="Bodytext2"/>
    <w:rsid w:val="004623F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4623F9"/>
    <w:rPr>
      <w:b w:val="0"/>
      <w:bCs w:val="0"/>
      <w:i w:val="0"/>
      <w:iCs w:val="0"/>
      <w:smallCaps w:val="0"/>
      <w:strike w:val="0"/>
      <w:spacing w:val="80"/>
      <w:sz w:val="28"/>
      <w:szCs w:val="28"/>
      <w:u w:val="none"/>
    </w:rPr>
  </w:style>
  <w:style w:type="character" w:customStyle="1" w:styleId="Bodytext21">
    <w:name w:val="Body text (2)"/>
    <w:basedOn w:val="Bodytext2"/>
    <w:rsid w:val="004623F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">
    <w:name w:val="Body text (2) + 15 pt"/>
    <w:basedOn w:val="Bodytext2"/>
    <w:rsid w:val="004623F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4623F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8pt">
    <w:name w:val="Body text (2) + 18 pt"/>
    <w:aliases w:val="Bold,Italic"/>
    <w:basedOn w:val="Bodytext2"/>
    <w:rsid w:val="004623F9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4623F9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pacing2pt">
    <w:name w:val="Body text (3) + Spacing 2 pt"/>
    <w:basedOn w:val="Bodytext3"/>
    <w:rsid w:val="004623F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4623F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4623F9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5">
    <w:name w:val="Body text (5)_"/>
    <w:basedOn w:val="DefaultParagraphFont"/>
    <w:link w:val="Bodytext50"/>
    <w:rsid w:val="004623F9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6">
    <w:name w:val="Body text (6)_"/>
    <w:basedOn w:val="DefaultParagraphFont"/>
    <w:link w:val="Bodytext60"/>
    <w:rsid w:val="004623F9"/>
    <w:rPr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Bodytext7">
    <w:name w:val="Body text (7)_"/>
    <w:basedOn w:val="DefaultParagraphFont"/>
    <w:link w:val="Bodytext70"/>
    <w:rsid w:val="004623F9"/>
    <w:rPr>
      <w:b w:val="0"/>
      <w:bCs w:val="0"/>
      <w:i w:val="0"/>
      <w:iCs w:val="0"/>
      <w:smallCaps w:val="0"/>
      <w:strike w:val="0"/>
      <w:spacing w:val="10"/>
      <w:sz w:val="10"/>
      <w:szCs w:val="10"/>
      <w:u w:val="none"/>
    </w:rPr>
  </w:style>
  <w:style w:type="paragraph" w:customStyle="1" w:styleId="Heading10">
    <w:name w:val="Heading #1"/>
    <w:basedOn w:val="Normal"/>
    <w:link w:val="Heading1"/>
    <w:rsid w:val="004623F9"/>
    <w:pPr>
      <w:shd w:val="clear" w:color="auto" w:fill="FFFFFF"/>
      <w:spacing w:after="900" w:line="0" w:lineRule="atLeast"/>
      <w:jc w:val="center"/>
      <w:outlineLvl w:val="0"/>
    </w:pPr>
    <w:rPr>
      <w:sz w:val="32"/>
      <w:szCs w:val="32"/>
    </w:rPr>
  </w:style>
  <w:style w:type="paragraph" w:customStyle="1" w:styleId="Tablecaption0">
    <w:name w:val="Table caption"/>
    <w:basedOn w:val="Normal"/>
    <w:link w:val="Tablecaption"/>
    <w:rsid w:val="004623F9"/>
    <w:pPr>
      <w:shd w:val="clear" w:color="auto" w:fill="FFFFFF"/>
      <w:spacing w:line="342" w:lineRule="exact"/>
      <w:jc w:val="center"/>
    </w:pPr>
    <w:rPr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4623F9"/>
    <w:pPr>
      <w:shd w:val="clear" w:color="auto" w:fill="FFFFFF"/>
      <w:spacing w:before="600" w:line="518" w:lineRule="exact"/>
      <w:jc w:val="both"/>
    </w:pPr>
    <w:rPr>
      <w:sz w:val="28"/>
      <w:szCs w:val="28"/>
    </w:rPr>
  </w:style>
  <w:style w:type="paragraph" w:customStyle="1" w:styleId="Tablecaption20">
    <w:name w:val="Table caption (2)"/>
    <w:basedOn w:val="Normal"/>
    <w:link w:val="Tablecaption2"/>
    <w:rsid w:val="004623F9"/>
    <w:pPr>
      <w:shd w:val="clear" w:color="auto" w:fill="FFFFFF"/>
      <w:spacing w:line="0" w:lineRule="atLeast"/>
    </w:pPr>
    <w:rPr>
      <w:spacing w:val="80"/>
      <w:sz w:val="28"/>
      <w:szCs w:val="28"/>
    </w:rPr>
  </w:style>
  <w:style w:type="paragraph" w:customStyle="1" w:styleId="Bodytext30">
    <w:name w:val="Body text (3)"/>
    <w:basedOn w:val="Normal"/>
    <w:link w:val="Bodytext3"/>
    <w:rsid w:val="004623F9"/>
    <w:pPr>
      <w:shd w:val="clear" w:color="auto" w:fill="FFFFFF"/>
      <w:spacing w:before="660" w:line="342" w:lineRule="exact"/>
      <w:jc w:val="center"/>
    </w:pPr>
    <w:rPr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4623F9"/>
    <w:pPr>
      <w:shd w:val="clear" w:color="auto" w:fill="FFFFFF"/>
      <w:spacing w:line="0" w:lineRule="atLeast"/>
    </w:pPr>
    <w:rPr>
      <w:sz w:val="19"/>
      <w:szCs w:val="19"/>
    </w:rPr>
  </w:style>
  <w:style w:type="paragraph" w:customStyle="1" w:styleId="Bodytext50">
    <w:name w:val="Body text (5)"/>
    <w:basedOn w:val="Normal"/>
    <w:link w:val="Bodytext5"/>
    <w:rsid w:val="004623F9"/>
    <w:pPr>
      <w:shd w:val="clear" w:color="auto" w:fill="FFFFFF"/>
      <w:spacing w:line="0" w:lineRule="atLeast"/>
    </w:pPr>
    <w:rPr>
      <w:sz w:val="28"/>
      <w:szCs w:val="28"/>
    </w:rPr>
  </w:style>
  <w:style w:type="paragraph" w:customStyle="1" w:styleId="Bodytext60">
    <w:name w:val="Body text (6)"/>
    <w:basedOn w:val="Normal"/>
    <w:link w:val="Bodytext6"/>
    <w:rsid w:val="004623F9"/>
    <w:pPr>
      <w:shd w:val="clear" w:color="auto" w:fill="FFFFFF"/>
      <w:spacing w:line="0" w:lineRule="atLeast"/>
    </w:pPr>
    <w:rPr>
      <w:sz w:val="8"/>
      <w:szCs w:val="8"/>
    </w:rPr>
  </w:style>
  <w:style w:type="paragraph" w:customStyle="1" w:styleId="Bodytext70">
    <w:name w:val="Body text (7)"/>
    <w:basedOn w:val="Normal"/>
    <w:link w:val="Bodytext7"/>
    <w:rsid w:val="004623F9"/>
    <w:pPr>
      <w:shd w:val="clear" w:color="auto" w:fill="FFFFFF"/>
      <w:spacing w:line="0" w:lineRule="atLeast"/>
    </w:pPr>
    <w:rPr>
      <w:spacing w:val="10"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623F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623F9"/>
    <w:rPr>
      <w:color w:val="000080"/>
      <w:u w:val="single"/>
    </w:rPr>
  </w:style>
  <w:style w:type="character" w:customStyle="1" w:styleId="Heading1">
    <w:name w:val="Heading #1_"/>
    <w:basedOn w:val="DefaultParagraphFont"/>
    <w:link w:val="Heading10"/>
    <w:rsid w:val="004623F9"/>
    <w:rPr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">
    <w:name w:val="Table caption_"/>
    <w:basedOn w:val="DefaultParagraphFont"/>
    <w:link w:val="Tablecaption0"/>
    <w:rsid w:val="004623F9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sid w:val="004623F9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aliases w:val="Spacing 2 pt"/>
    <w:basedOn w:val="Bodytext2"/>
    <w:rsid w:val="004623F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4623F9"/>
    <w:rPr>
      <w:b w:val="0"/>
      <w:bCs w:val="0"/>
      <w:i w:val="0"/>
      <w:iCs w:val="0"/>
      <w:smallCaps w:val="0"/>
      <w:strike w:val="0"/>
      <w:spacing w:val="80"/>
      <w:sz w:val="28"/>
      <w:szCs w:val="28"/>
      <w:u w:val="none"/>
    </w:rPr>
  </w:style>
  <w:style w:type="character" w:customStyle="1" w:styleId="Bodytext21">
    <w:name w:val="Body text (2)"/>
    <w:basedOn w:val="Bodytext2"/>
    <w:rsid w:val="004623F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">
    <w:name w:val="Body text (2) + 15 pt"/>
    <w:basedOn w:val="Bodytext2"/>
    <w:rsid w:val="004623F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4623F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8pt">
    <w:name w:val="Body text (2) + 18 pt"/>
    <w:aliases w:val="Bold,Italic"/>
    <w:basedOn w:val="Bodytext2"/>
    <w:rsid w:val="004623F9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4623F9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pacing2pt">
    <w:name w:val="Body text (3) + Spacing 2 pt"/>
    <w:basedOn w:val="Bodytext3"/>
    <w:rsid w:val="004623F9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4623F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4623F9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5">
    <w:name w:val="Body text (5)_"/>
    <w:basedOn w:val="DefaultParagraphFont"/>
    <w:link w:val="Bodytext50"/>
    <w:rsid w:val="004623F9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6">
    <w:name w:val="Body text (6)_"/>
    <w:basedOn w:val="DefaultParagraphFont"/>
    <w:link w:val="Bodytext60"/>
    <w:rsid w:val="004623F9"/>
    <w:rPr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Bodytext7">
    <w:name w:val="Body text (7)_"/>
    <w:basedOn w:val="DefaultParagraphFont"/>
    <w:link w:val="Bodytext70"/>
    <w:rsid w:val="004623F9"/>
    <w:rPr>
      <w:b w:val="0"/>
      <w:bCs w:val="0"/>
      <w:i w:val="0"/>
      <w:iCs w:val="0"/>
      <w:smallCaps w:val="0"/>
      <w:strike w:val="0"/>
      <w:spacing w:val="10"/>
      <w:sz w:val="10"/>
      <w:szCs w:val="10"/>
      <w:u w:val="none"/>
    </w:rPr>
  </w:style>
  <w:style w:type="paragraph" w:customStyle="1" w:styleId="Heading10">
    <w:name w:val="Heading #1"/>
    <w:basedOn w:val="Normal"/>
    <w:link w:val="Heading1"/>
    <w:rsid w:val="004623F9"/>
    <w:pPr>
      <w:shd w:val="clear" w:color="auto" w:fill="FFFFFF"/>
      <w:spacing w:after="900" w:line="0" w:lineRule="atLeast"/>
      <w:jc w:val="center"/>
      <w:outlineLvl w:val="0"/>
    </w:pPr>
    <w:rPr>
      <w:sz w:val="32"/>
      <w:szCs w:val="32"/>
    </w:rPr>
  </w:style>
  <w:style w:type="paragraph" w:customStyle="1" w:styleId="Tablecaption0">
    <w:name w:val="Table caption"/>
    <w:basedOn w:val="Normal"/>
    <w:link w:val="Tablecaption"/>
    <w:rsid w:val="004623F9"/>
    <w:pPr>
      <w:shd w:val="clear" w:color="auto" w:fill="FFFFFF"/>
      <w:spacing w:line="342" w:lineRule="exact"/>
      <w:jc w:val="center"/>
    </w:pPr>
    <w:rPr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4623F9"/>
    <w:pPr>
      <w:shd w:val="clear" w:color="auto" w:fill="FFFFFF"/>
      <w:spacing w:before="600" w:line="518" w:lineRule="exact"/>
      <w:jc w:val="both"/>
    </w:pPr>
    <w:rPr>
      <w:sz w:val="28"/>
      <w:szCs w:val="28"/>
    </w:rPr>
  </w:style>
  <w:style w:type="paragraph" w:customStyle="1" w:styleId="Tablecaption20">
    <w:name w:val="Table caption (2)"/>
    <w:basedOn w:val="Normal"/>
    <w:link w:val="Tablecaption2"/>
    <w:rsid w:val="004623F9"/>
    <w:pPr>
      <w:shd w:val="clear" w:color="auto" w:fill="FFFFFF"/>
      <w:spacing w:line="0" w:lineRule="atLeast"/>
    </w:pPr>
    <w:rPr>
      <w:spacing w:val="80"/>
      <w:sz w:val="28"/>
      <w:szCs w:val="28"/>
    </w:rPr>
  </w:style>
  <w:style w:type="paragraph" w:customStyle="1" w:styleId="Bodytext30">
    <w:name w:val="Body text (3)"/>
    <w:basedOn w:val="Normal"/>
    <w:link w:val="Bodytext3"/>
    <w:rsid w:val="004623F9"/>
    <w:pPr>
      <w:shd w:val="clear" w:color="auto" w:fill="FFFFFF"/>
      <w:spacing w:before="660" w:line="342" w:lineRule="exact"/>
      <w:jc w:val="center"/>
    </w:pPr>
    <w:rPr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4623F9"/>
    <w:pPr>
      <w:shd w:val="clear" w:color="auto" w:fill="FFFFFF"/>
      <w:spacing w:line="0" w:lineRule="atLeast"/>
    </w:pPr>
    <w:rPr>
      <w:sz w:val="19"/>
      <w:szCs w:val="19"/>
    </w:rPr>
  </w:style>
  <w:style w:type="paragraph" w:customStyle="1" w:styleId="Bodytext50">
    <w:name w:val="Body text (5)"/>
    <w:basedOn w:val="Normal"/>
    <w:link w:val="Bodytext5"/>
    <w:rsid w:val="004623F9"/>
    <w:pPr>
      <w:shd w:val="clear" w:color="auto" w:fill="FFFFFF"/>
      <w:spacing w:line="0" w:lineRule="atLeast"/>
    </w:pPr>
    <w:rPr>
      <w:sz w:val="28"/>
      <w:szCs w:val="28"/>
    </w:rPr>
  </w:style>
  <w:style w:type="paragraph" w:customStyle="1" w:styleId="Bodytext60">
    <w:name w:val="Body text (6)"/>
    <w:basedOn w:val="Normal"/>
    <w:link w:val="Bodytext6"/>
    <w:rsid w:val="004623F9"/>
    <w:pPr>
      <w:shd w:val="clear" w:color="auto" w:fill="FFFFFF"/>
      <w:spacing w:line="0" w:lineRule="atLeast"/>
    </w:pPr>
    <w:rPr>
      <w:sz w:val="8"/>
      <w:szCs w:val="8"/>
    </w:rPr>
  </w:style>
  <w:style w:type="paragraph" w:customStyle="1" w:styleId="Bodytext70">
    <w:name w:val="Body text (7)"/>
    <w:basedOn w:val="Normal"/>
    <w:link w:val="Bodytext7"/>
    <w:rsid w:val="004623F9"/>
    <w:pPr>
      <w:shd w:val="clear" w:color="auto" w:fill="FFFFFF"/>
      <w:spacing w:line="0" w:lineRule="atLeast"/>
    </w:pPr>
    <w:rPr>
      <w:spacing w:val="10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3362</Words>
  <Characters>19164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2017-12-22T06:45:00Z</dcterms:created>
  <dcterms:modified xsi:type="dcterms:W3CDTF">2017-12-22T06:45:00Z</dcterms:modified>
</cp:coreProperties>
</file>