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13" w:rsidRPr="00947B2A" w:rsidRDefault="008A2613" w:rsidP="008A2613">
      <w:pPr>
        <w:pStyle w:val="100"/>
        <w:shd w:val="clear" w:color="auto" w:fill="auto"/>
        <w:spacing w:before="0" w:after="120" w:line="240" w:lineRule="auto"/>
        <w:ind w:left="5387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УТВЕРЖДЕН</w:t>
      </w:r>
    </w:p>
    <w:p w:rsidR="008A2613" w:rsidRDefault="008A2613" w:rsidP="008A2613">
      <w:pPr>
        <w:pStyle w:val="100"/>
        <w:shd w:val="clear" w:color="auto" w:fill="auto"/>
        <w:spacing w:before="0" w:line="240" w:lineRule="auto"/>
        <w:ind w:left="5387" w:firstLine="0"/>
        <w:jc w:val="center"/>
        <w:rPr>
          <w:rFonts w:ascii="Sylfaen" w:hAnsi="Sylfaen"/>
          <w:sz w:val="24"/>
          <w:szCs w:val="24"/>
          <w:lang w:val="en-US"/>
        </w:rPr>
      </w:pP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Решением Коллегии Евразийской экономической комиссии</w:t>
      </w:r>
    </w:p>
    <w:p w:rsidR="008A2613" w:rsidRPr="00947B2A" w:rsidRDefault="008A2613" w:rsidP="008A2613">
      <w:pPr>
        <w:pStyle w:val="100"/>
        <w:shd w:val="clear" w:color="auto" w:fill="auto"/>
        <w:spacing w:before="0" w:after="120" w:line="240" w:lineRule="auto"/>
        <w:ind w:left="5387" w:firstLine="0"/>
        <w:jc w:val="center"/>
        <w:rPr>
          <w:rFonts w:ascii="Sylfaen" w:hAnsi="Sylfaen"/>
          <w:sz w:val="24"/>
          <w:szCs w:val="24"/>
        </w:rPr>
      </w:pP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от 19 декабря № 181</w:t>
      </w:r>
    </w:p>
    <w:p w:rsidR="008A2613" w:rsidRDefault="008A2613" w:rsidP="008A2613">
      <w:pPr>
        <w:pStyle w:val="122"/>
        <w:shd w:val="clear" w:color="auto" w:fill="auto"/>
        <w:spacing w:after="120" w:line="240" w:lineRule="auto"/>
        <w:ind w:left="200"/>
        <w:rPr>
          <w:rStyle w:val="122pt"/>
          <w:rFonts w:ascii="Sylfaen" w:hAnsi="Sylfaen"/>
          <w:sz w:val="24"/>
          <w:szCs w:val="24"/>
          <w:lang w:val="en-US"/>
        </w:rPr>
      </w:pPr>
    </w:p>
    <w:p w:rsidR="008A2613" w:rsidRPr="00E46DB1" w:rsidRDefault="008A2613" w:rsidP="00E46DB1">
      <w:pPr>
        <w:pStyle w:val="122"/>
        <w:shd w:val="clear" w:color="auto" w:fill="auto"/>
        <w:spacing w:after="60" w:line="240" w:lineRule="auto"/>
        <w:rPr>
          <w:rFonts w:ascii="Sylfaen" w:hAnsi="Sylfaen"/>
          <w:b w:val="0"/>
          <w:sz w:val="24"/>
          <w:szCs w:val="24"/>
        </w:rPr>
      </w:pPr>
      <w:r w:rsidRPr="00E46DB1">
        <w:rPr>
          <w:rStyle w:val="122pt"/>
          <w:rFonts w:ascii="Sylfaen" w:hAnsi="Sylfaen"/>
          <w:b/>
          <w:spacing w:val="0"/>
          <w:sz w:val="24"/>
          <w:szCs w:val="24"/>
        </w:rPr>
        <w:t>ПОРЯДОК</w:t>
      </w:r>
    </w:p>
    <w:p w:rsidR="008A2613" w:rsidRPr="008A2613" w:rsidRDefault="008A2613" w:rsidP="008A2613">
      <w:pPr>
        <w:pStyle w:val="122"/>
        <w:shd w:val="clear" w:color="auto" w:fill="auto"/>
        <w:spacing w:after="120" w:line="240" w:lineRule="auto"/>
        <w:ind w:left="200"/>
        <w:rPr>
          <w:rFonts w:ascii="Sylfaen" w:hAnsi="Sylfaen"/>
          <w:sz w:val="24"/>
          <w:szCs w:val="24"/>
        </w:rPr>
      </w:pP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формирования и ведения общего перечня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статей административного и уголовного законодательства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государств</w:t>
      </w:r>
      <w:r w:rsidRPr="008A2613">
        <w:rPr>
          <w:rFonts w:ascii="Sylfaen" w:hAnsi="Sylfaen"/>
          <w:color w:val="000000"/>
          <w:sz w:val="24"/>
          <w:szCs w:val="24"/>
          <w:lang w:eastAsia="ru-RU" w:bidi="ru-RU"/>
        </w:rPr>
        <w:t>-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 xml:space="preserve"> членов Евразийского экономического союза,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предусматривающих административную и уголовную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ответственность за административные правонарушения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и преступления или уголовные правонарушения,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привлечение к ответственности за совершение которых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законодательством государств-членов определено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в качестве основания для отказа во включении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в реестр уполномоченных экономических операторов</w:t>
      </w:r>
    </w:p>
    <w:p w:rsidR="008A2613" w:rsidRPr="008A2613" w:rsidRDefault="008A2613" w:rsidP="008A2613">
      <w:pPr>
        <w:pStyle w:val="122"/>
        <w:shd w:val="clear" w:color="auto" w:fill="auto"/>
        <w:spacing w:after="60" w:line="240" w:lineRule="auto"/>
        <w:ind w:left="199"/>
        <w:rPr>
          <w:rFonts w:ascii="Sylfaen" w:hAnsi="Sylfaen"/>
          <w:sz w:val="24"/>
          <w:szCs w:val="24"/>
        </w:rPr>
      </w:pPr>
    </w:p>
    <w:p w:rsidR="008A2613" w:rsidRPr="00947B2A" w:rsidRDefault="008A2613" w:rsidP="008A2613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47B2A">
        <w:rPr>
          <w:rFonts w:ascii="Sylfaen" w:hAnsi="Sylfaen"/>
          <w:sz w:val="24"/>
          <w:szCs w:val="24"/>
        </w:rPr>
        <w:t xml:space="preserve">1.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Настоящий Порядок разработан в соответствии с пунктом 2 статьи 433 Таможенного кодекса Евразийского экономического союза (далее - Союз) и определяет правила формирования и ведения общего перечня статей административного и уголовного законодательства государств - членов Союза (далее - государства-члены), предусматривающих административную и уголовную ответственность за административные правонарушения и преступления или уголовные правонарушения, привлечение к ответственности за совершение которых законодательством государств-членов определено в качестве основания для отказа во включении в реестр уполномоченных экономических операторов (далее - перечень).</w:t>
      </w:r>
    </w:p>
    <w:p w:rsidR="008A2613" w:rsidRPr="00947B2A" w:rsidRDefault="008A2613" w:rsidP="008A2613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47B2A">
        <w:rPr>
          <w:rFonts w:ascii="Sylfaen" w:hAnsi="Sylfaen"/>
          <w:sz w:val="24"/>
          <w:szCs w:val="24"/>
        </w:rPr>
        <w:t xml:space="preserve">2.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Формирование и ведение перечня включают в себя получение, хранение, систематизацию и актуализацию информации о статьях административного и уголовного законодательства государств-членов, предусматривающих административную и уголовную ответственность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за административные правонарушения и преступления или уголовные правонарушения (далее - информация), предоставляемой таможенными органами государств-членов в Евразийскую экономическую комиссию (далее - Комиссия), и осуществляю гея Комиссией.</w:t>
      </w:r>
    </w:p>
    <w:p w:rsidR="008A2613" w:rsidRPr="00947B2A" w:rsidRDefault="008A2613" w:rsidP="008A2613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47B2A">
        <w:rPr>
          <w:rFonts w:ascii="Sylfaen" w:hAnsi="Sylfaen"/>
          <w:sz w:val="24"/>
          <w:szCs w:val="24"/>
        </w:rPr>
        <w:t xml:space="preserve">3.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Перечень составляется по форме согласно приложению и размещается на официальном сайте Союза.</w:t>
      </w:r>
    </w:p>
    <w:p w:rsidR="008A2613" w:rsidRPr="00947B2A" w:rsidRDefault="008A2613" w:rsidP="008A2613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47B2A">
        <w:rPr>
          <w:rFonts w:ascii="Sylfaen" w:hAnsi="Sylfaen"/>
          <w:sz w:val="24"/>
          <w:szCs w:val="24"/>
        </w:rPr>
        <w:t xml:space="preserve">4.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 xml:space="preserve">Информация направляется в Комиссию таможенными органами государств-членов в формате </w:t>
      </w:r>
      <w:r w:rsidRPr="00947B2A">
        <w:rPr>
          <w:rFonts w:ascii="Sylfaen" w:hAnsi="Sylfaen"/>
          <w:color w:val="000000"/>
          <w:sz w:val="24"/>
          <w:szCs w:val="24"/>
          <w:lang w:bidi="en-US"/>
        </w:rPr>
        <w:t>*.</w:t>
      </w:r>
      <w:proofErr w:type="spellStart"/>
      <w:r w:rsidRPr="00947B2A">
        <w:rPr>
          <w:rFonts w:ascii="Sylfaen" w:hAnsi="Sylfaen"/>
          <w:color w:val="000000"/>
          <w:sz w:val="24"/>
          <w:szCs w:val="24"/>
          <w:lang w:val="en-US" w:bidi="en-US"/>
        </w:rPr>
        <w:t>xlsx</w:t>
      </w:r>
      <w:proofErr w:type="spellEnd"/>
      <w:r w:rsidRPr="00947B2A">
        <w:rPr>
          <w:rFonts w:ascii="Sylfaen" w:hAnsi="Sylfaen"/>
          <w:color w:val="000000"/>
          <w:sz w:val="24"/>
          <w:szCs w:val="24"/>
          <w:lang w:bidi="en-US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 xml:space="preserve">на адрес электронной почты Комиссии </w:t>
      </w:r>
      <w:proofErr w:type="spellStart"/>
      <w:r w:rsidRPr="00947B2A">
        <w:rPr>
          <w:rFonts w:ascii="Sylfaen" w:hAnsi="Sylfaen"/>
          <w:sz w:val="24"/>
          <w:szCs w:val="24"/>
          <w:lang w:val="en-US" w:bidi="en-US"/>
        </w:rPr>
        <w:t>cis</w:t>
      </w:r>
      <w:proofErr w:type="spellEnd"/>
      <w:r w:rsidRPr="00947B2A">
        <w:rPr>
          <w:rFonts w:ascii="Sylfaen" w:hAnsi="Sylfaen"/>
          <w:sz w:val="24"/>
          <w:szCs w:val="24"/>
          <w:lang w:bidi="en-US"/>
        </w:rPr>
        <w:t>@</w:t>
      </w:r>
      <w:proofErr w:type="spellStart"/>
      <w:r w:rsidRPr="00947B2A">
        <w:rPr>
          <w:rFonts w:ascii="Sylfaen" w:hAnsi="Sylfaen"/>
          <w:sz w:val="24"/>
          <w:szCs w:val="24"/>
          <w:lang w:val="en-US" w:bidi="en-US"/>
        </w:rPr>
        <w:t>eecommission</w:t>
      </w:r>
      <w:proofErr w:type="spellEnd"/>
      <w:r w:rsidRPr="00947B2A">
        <w:rPr>
          <w:rFonts w:ascii="Sylfaen" w:hAnsi="Sylfaen"/>
          <w:sz w:val="24"/>
          <w:szCs w:val="24"/>
          <w:lang w:bidi="en-US"/>
        </w:rPr>
        <w:t>.</w:t>
      </w:r>
      <w:r w:rsidRPr="00947B2A">
        <w:rPr>
          <w:rFonts w:ascii="Sylfaen" w:hAnsi="Sylfaen"/>
          <w:sz w:val="24"/>
          <w:szCs w:val="24"/>
          <w:lang w:val="en-US" w:bidi="en-US"/>
        </w:rPr>
        <w:t>org</w:t>
      </w:r>
      <w:r w:rsidRPr="00947B2A">
        <w:rPr>
          <w:rFonts w:ascii="Sylfaen" w:hAnsi="Sylfaen"/>
          <w:color w:val="000000"/>
          <w:sz w:val="24"/>
          <w:szCs w:val="24"/>
          <w:lang w:bidi="en-US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не позднее 5 рабочих дней с даты официального опубликования изменений, вносимых в соответствующие акты государств-членов, если эти изменения затрагивают информацию, включенную в перечень.</w:t>
      </w:r>
    </w:p>
    <w:p w:rsidR="008A2613" w:rsidRPr="00947B2A" w:rsidRDefault="008A2613" w:rsidP="008A2613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47B2A">
        <w:rPr>
          <w:rFonts w:ascii="Sylfaen" w:hAnsi="Sylfaen"/>
          <w:sz w:val="24"/>
          <w:szCs w:val="24"/>
        </w:rPr>
        <w:t xml:space="preserve">5.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 xml:space="preserve">Комиссия на основании поступившей информации обеспечивает обновление перечня на официальном сайте Союза не позднее 5 рабочих дней с даты получения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lastRenderedPageBreak/>
        <w:t>такой информации.</w:t>
      </w:r>
    </w:p>
    <w:p w:rsidR="008A2613" w:rsidRPr="008A2613" w:rsidRDefault="008A2613" w:rsidP="008A2613">
      <w:pPr>
        <w:spacing w:after="120"/>
      </w:pPr>
    </w:p>
    <w:p w:rsidR="008A2613" w:rsidRPr="008A2613" w:rsidRDefault="008A2613" w:rsidP="008A2613">
      <w:pPr>
        <w:spacing w:after="120"/>
        <w:sectPr w:rsidR="008A2613" w:rsidRPr="008A2613" w:rsidSect="00947B2A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8A2613" w:rsidRPr="00947B2A" w:rsidRDefault="008A2613" w:rsidP="008A2613">
      <w:pPr>
        <w:pStyle w:val="100"/>
        <w:shd w:val="clear" w:color="auto" w:fill="auto"/>
        <w:spacing w:before="0" w:after="120" w:line="240" w:lineRule="auto"/>
        <w:ind w:left="5670" w:right="20" w:firstLine="0"/>
        <w:jc w:val="center"/>
        <w:rPr>
          <w:rFonts w:ascii="Sylfaen" w:hAnsi="Sylfaen"/>
          <w:sz w:val="24"/>
          <w:szCs w:val="24"/>
        </w:rPr>
      </w:pP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lastRenderedPageBreak/>
        <w:t>ПРИЛОЖЕНИЕ</w:t>
      </w:r>
    </w:p>
    <w:p w:rsidR="008A2613" w:rsidRPr="00947B2A" w:rsidRDefault="008A2613" w:rsidP="008A2613">
      <w:pPr>
        <w:pStyle w:val="100"/>
        <w:shd w:val="clear" w:color="auto" w:fill="auto"/>
        <w:spacing w:before="0" w:after="120" w:line="240" w:lineRule="auto"/>
        <w:ind w:left="5670" w:right="20" w:firstLine="0"/>
        <w:jc w:val="center"/>
        <w:rPr>
          <w:rFonts w:ascii="Sylfaen" w:hAnsi="Sylfaen"/>
          <w:sz w:val="24"/>
          <w:szCs w:val="24"/>
        </w:rPr>
      </w:pP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к Порядку формирования и ведения общего перечня статей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административного и уголовного законодательства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государств</w:t>
      </w:r>
      <w:r w:rsidR="0069789D" w:rsidRPr="0069789D">
        <w:rPr>
          <w:rFonts w:ascii="Sylfaen" w:hAnsi="Sylfaen"/>
          <w:color w:val="000000"/>
          <w:sz w:val="24"/>
          <w:szCs w:val="24"/>
          <w:lang w:eastAsia="ru-RU" w:bidi="ru-RU"/>
        </w:rPr>
        <w:t>-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 xml:space="preserve"> членов Евразийского экономического союза,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предусматривающих административную и уголовную ответственность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за административные правонарушения и преступления или уголовные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правонарушения, привлечение к ответственности за совершение которых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законодательством государств-членов определено в качестве основания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для отказа во включении в реестр уполномоченных экономических операторов</w:t>
      </w:r>
    </w:p>
    <w:p w:rsidR="008A2613" w:rsidRPr="00947B2A" w:rsidRDefault="008A2613" w:rsidP="008A2613">
      <w:pPr>
        <w:pStyle w:val="100"/>
        <w:shd w:val="clear" w:color="auto" w:fill="auto"/>
        <w:spacing w:before="0" w:after="120" w:line="240" w:lineRule="auto"/>
        <w:ind w:left="5670" w:right="20" w:firstLine="0"/>
        <w:jc w:val="center"/>
        <w:rPr>
          <w:rFonts w:ascii="Sylfaen" w:hAnsi="Sylfaen"/>
          <w:sz w:val="24"/>
          <w:szCs w:val="24"/>
        </w:rPr>
      </w:pP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(форма)</w:t>
      </w:r>
    </w:p>
    <w:p w:rsidR="008A2613" w:rsidRPr="008A2613" w:rsidRDefault="008A2613" w:rsidP="008A2613">
      <w:pPr>
        <w:pStyle w:val="220"/>
        <w:shd w:val="clear" w:color="auto" w:fill="auto"/>
        <w:spacing w:before="0" w:after="120" w:line="240" w:lineRule="auto"/>
        <w:rPr>
          <w:rStyle w:val="222pt"/>
          <w:rFonts w:ascii="Sylfaen" w:hAnsi="Sylfaen"/>
          <w:sz w:val="24"/>
          <w:szCs w:val="24"/>
        </w:rPr>
      </w:pPr>
      <w:bookmarkStart w:id="1" w:name="bookmark7"/>
    </w:p>
    <w:p w:rsidR="008A2613" w:rsidRPr="00E46DB1" w:rsidRDefault="008A2613" w:rsidP="008A2613">
      <w:pPr>
        <w:pStyle w:val="220"/>
        <w:shd w:val="clear" w:color="auto" w:fill="auto"/>
        <w:spacing w:before="0" w:after="120" w:line="240" w:lineRule="auto"/>
        <w:rPr>
          <w:rFonts w:ascii="Sylfaen" w:hAnsi="Sylfaen"/>
          <w:b w:val="0"/>
          <w:sz w:val="24"/>
          <w:szCs w:val="24"/>
        </w:rPr>
      </w:pPr>
      <w:r w:rsidRPr="00E46DB1">
        <w:rPr>
          <w:rStyle w:val="222pt"/>
          <w:rFonts w:ascii="Sylfaen" w:hAnsi="Sylfaen"/>
          <w:b/>
          <w:spacing w:val="0"/>
          <w:sz w:val="24"/>
          <w:szCs w:val="24"/>
        </w:rPr>
        <w:t>ОБЩИЙ ПЕРЕЧЕНЬ</w:t>
      </w:r>
      <w:bookmarkEnd w:id="1"/>
    </w:p>
    <w:p w:rsidR="008A2613" w:rsidRPr="00E46DB1" w:rsidRDefault="008A2613" w:rsidP="008A2613">
      <w:pPr>
        <w:pStyle w:val="122"/>
        <w:shd w:val="clear" w:color="auto" w:fill="auto"/>
        <w:spacing w:after="120" w:line="240" w:lineRule="auto"/>
        <w:rPr>
          <w:rFonts w:ascii="Sylfaen" w:hAnsi="Sylfaen"/>
          <w:color w:val="000000"/>
          <w:sz w:val="24"/>
          <w:szCs w:val="24"/>
          <w:lang w:eastAsia="ru-RU" w:bidi="ru-RU"/>
        </w:rPr>
      </w:pP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статей административного и уголовного законодательства государств</w:t>
      </w:r>
      <w:r w:rsidRPr="00947B2A">
        <w:rPr>
          <w:rFonts w:ascii="Sylfaen" w:hAnsi="Sylfaen"/>
          <w:sz w:val="24"/>
          <w:szCs w:val="24"/>
        </w:rPr>
        <w:t>-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членов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Евразийского экономического союза, предусматривающих административную и уголовную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ответственность за административные правонарушения и преступления или уголовные правонарушения,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привлечение к ответственности за совершение которых законодательством государств-членов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определено в качестве основания для отказа во включении</w:t>
      </w:r>
      <w:r w:rsidRPr="00947B2A">
        <w:rPr>
          <w:rFonts w:ascii="Sylfaen" w:hAnsi="Sylfaen"/>
          <w:sz w:val="24"/>
          <w:szCs w:val="24"/>
        </w:rPr>
        <w:t xml:space="preserve"> </w:t>
      </w:r>
      <w:r w:rsidRPr="00947B2A">
        <w:rPr>
          <w:rFonts w:ascii="Sylfaen" w:hAnsi="Sylfaen"/>
          <w:color w:val="000000"/>
          <w:sz w:val="24"/>
          <w:szCs w:val="24"/>
          <w:lang w:eastAsia="ru-RU" w:bidi="ru-RU"/>
        </w:rPr>
        <w:t>в реестр уполномоченных экономических операторов</w:t>
      </w:r>
    </w:p>
    <w:p w:rsidR="008A2613" w:rsidRPr="00E46DB1" w:rsidRDefault="008A2613" w:rsidP="008A2613">
      <w:pPr>
        <w:pStyle w:val="122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14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3197"/>
        <w:gridCol w:w="2441"/>
        <w:gridCol w:w="4349"/>
        <w:gridCol w:w="2898"/>
      </w:tblGrid>
      <w:tr w:rsidR="008A2613" w:rsidRPr="00947B2A" w:rsidTr="000534F2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947B2A">
              <w:rPr>
                <w:rStyle w:val="1010pt"/>
                <w:rFonts w:ascii="Sylfaen" w:hAnsi="Sylfaen"/>
                <w:szCs w:val="24"/>
              </w:rPr>
              <w:t>Наименование государства-члена Евразийского экономического союза</w:t>
            </w:r>
          </w:p>
        </w:tc>
        <w:tc>
          <w:tcPr>
            <w:tcW w:w="12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947B2A">
              <w:rPr>
                <w:rStyle w:val="1010pt"/>
                <w:rFonts w:ascii="Sylfaen" w:hAnsi="Sylfaen"/>
                <w:szCs w:val="24"/>
              </w:rPr>
              <w:t>Нормативный правовой акт законодательства государства - члена Евразийского экономического союза</w:t>
            </w:r>
          </w:p>
        </w:tc>
      </w:tr>
      <w:tr w:rsidR="008A2613" w:rsidRPr="00947B2A" w:rsidTr="000534F2"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spacing w:after="120"/>
              <w:rPr>
                <w:sz w:val="20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947B2A">
              <w:rPr>
                <w:rStyle w:val="1010pt"/>
                <w:rFonts w:ascii="Sylfaen" w:hAnsi="Sylfaen"/>
                <w:szCs w:val="24"/>
              </w:rPr>
              <w:t>наименование, дата принятия и номер (при наличии) (с изменениями по состоянию на последнюю дату внесения изменений)</w:t>
            </w:r>
          </w:p>
        </w:tc>
        <w:tc>
          <w:tcPr>
            <w:tcW w:w="9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947B2A">
              <w:rPr>
                <w:rStyle w:val="1010pt"/>
                <w:rFonts w:ascii="Sylfaen" w:hAnsi="Sylfaen"/>
                <w:szCs w:val="24"/>
              </w:rPr>
              <w:t>административное правонарушение и преступление или уголовное правонарушение, привлечение к ответственности за совершение которого законодательством государства - члена Евразийского экономического союза определено в качестве основания для отказа во включении в реестр уполномоченных экономических операторов</w:t>
            </w:r>
          </w:p>
        </w:tc>
      </w:tr>
      <w:tr w:rsidR="008A2613" w:rsidRPr="00947B2A" w:rsidTr="000534F2"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spacing w:after="120"/>
              <w:rPr>
                <w:sz w:val="20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spacing w:after="120"/>
              <w:rPr>
                <w:sz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947B2A">
              <w:rPr>
                <w:rStyle w:val="1010pt"/>
                <w:rFonts w:ascii="Sylfaen" w:hAnsi="Sylfaen"/>
                <w:szCs w:val="24"/>
              </w:rPr>
              <w:t>номер и наименование (при наличии) статьи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947B2A">
              <w:rPr>
                <w:rStyle w:val="1010pt"/>
                <w:rFonts w:ascii="Sylfaen" w:hAnsi="Sylfaen"/>
                <w:szCs w:val="24"/>
              </w:rPr>
              <w:t>составы и санкции статьи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947B2A">
              <w:rPr>
                <w:rStyle w:val="1010pt"/>
                <w:rFonts w:ascii="Sylfaen" w:hAnsi="Sylfaen"/>
                <w:szCs w:val="24"/>
              </w:rPr>
              <w:t>субъект (физическое и (или) юридическое лицо)</w:t>
            </w:r>
          </w:p>
        </w:tc>
      </w:tr>
      <w:tr w:rsidR="008A2613" w:rsidRPr="00947B2A" w:rsidTr="000534F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947B2A">
              <w:rPr>
                <w:rStyle w:val="1010pt"/>
                <w:rFonts w:ascii="Sylfaen" w:hAnsi="Sylfaen"/>
                <w:szCs w:val="24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947B2A">
              <w:rPr>
                <w:rStyle w:val="1010pt"/>
                <w:rFonts w:ascii="Sylfaen" w:hAnsi="Sylfaen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947B2A">
              <w:rPr>
                <w:rStyle w:val="1010pt"/>
                <w:rFonts w:ascii="Sylfaen" w:hAnsi="Sylfaen"/>
                <w:szCs w:val="24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947B2A">
              <w:rPr>
                <w:rStyle w:val="1010pt"/>
                <w:rFonts w:ascii="Sylfaen" w:hAnsi="Sylfaen"/>
                <w:szCs w:val="24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613" w:rsidRPr="00947B2A" w:rsidRDefault="008A2613" w:rsidP="000534F2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947B2A">
              <w:rPr>
                <w:rStyle w:val="1010pt"/>
                <w:rFonts w:ascii="Sylfaen" w:hAnsi="Sylfaen"/>
                <w:szCs w:val="24"/>
              </w:rPr>
              <w:t>5</w:t>
            </w:r>
          </w:p>
        </w:tc>
      </w:tr>
    </w:tbl>
    <w:p w:rsidR="00213AFC" w:rsidRDefault="00213AFC"/>
    <w:sectPr w:rsidR="00213AFC" w:rsidSect="008A26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A2613"/>
    <w:rsid w:val="00072CDE"/>
    <w:rsid w:val="00077894"/>
    <w:rsid w:val="001F7FFA"/>
    <w:rsid w:val="00213AFC"/>
    <w:rsid w:val="00367BA4"/>
    <w:rsid w:val="00503C04"/>
    <w:rsid w:val="00545E76"/>
    <w:rsid w:val="0069789D"/>
    <w:rsid w:val="008A2613"/>
    <w:rsid w:val="00BA1894"/>
    <w:rsid w:val="00E4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2613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2">
    <w:name w:val="Заголовок №1 (2)_"/>
    <w:basedOn w:val="DefaultParagraphFont"/>
    <w:link w:val="120"/>
    <w:rsid w:val="008A261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0">
    <w:name w:val="Основной текст (10)_"/>
    <w:basedOn w:val="DefaultParagraphFont"/>
    <w:link w:val="100"/>
    <w:rsid w:val="008A261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2">
    <w:name w:val="Заголовок №2 (2)_"/>
    <w:basedOn w:val="DefaultParagraphFont"/>
    <w:link w:val="220"/>
    <w:rsid w:val="008A26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2pt">
    <w:name w:val="Основной текст (10) + Полужирный;Интервал 2 pt"/>
    <w:basedOn w:val="10"/>
    <w:rsid w:val="008A261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010pt">
    <w:name w:val="Основной текст (10) + 10 pt"/>
    <w:basedOn w:val="10"/>
    <w:rsid w:val="008A261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1">
    <w:name w:val="Основной текст (12)_"/>
    <w:basedOn w:val="DefaultParagraphFont"/>
    <w:link w:val="122"/>
    <w:rsid w:val="008A26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4pt">
    <w:name w:val="Заголовок №2 (2) + Интервал 4 pt"/>
    <w:basedOn w:val="22"/>
    <w:rsid w:val="008A2613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0Sylfaen14pt">
    <w:name w:val="Основной текст (10) + Sylfaen;14 pt"/>
    <w:basedOn w:val="10"/>
    <w:rsid w:val="008A2613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2pt">
    <w:name w:val="Основной текст (12) + Интервал 2 pt"/>
    <w:basedOn w:val="121"/>
    <w:rsid w:val="008A261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22pt">
    <w:name w:val="Заголовок №2 (2) + Интервал 2 pt"/>
    <w:basedOn w:val="22"/>
    <w:rsid w:val="008A261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120">
    <w:name w:val="Заголовок №1 (2)"/>
    <w:basedOn w:val="Normal"/>
    <w:link w:val="12"/>
    <w:rsid w:val="008A261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100">
    <w:name w:val="Основной текст (10)"/>
    <w:basedOn w:val="Normal"/>
    <w:link w:val="10"/>
    <w:rsid w:val="008A2613"/>
    <w:pPr>
      <w:shd w:val="clear" w:color="auto" w:fill="FFFFFF"/>
      <w:spacing w:before="420" w:line="482" w:lineRule="exact"/>
      <w:ind w:firstLine="720"/>
      <w:jc w:val="both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customStyle="1" w:styleId="220">
    <w:name w:val="Заголовок №2 (2)"/>
    <w:basedOn w:val="Normal"/>
    <w:link w:val="22"/>
    <w:rsid w:val="008A2613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122">
    <w:name w:val="Основной текст (12)"/>
    <w:basedOn w:val="Normal"/>
    <w:link w:val="121"/>
    <w:rsid w:val="008A261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haykb</dc:creator>
  <cp:keywords/>
  <dc:description/>
  <cp:lastModifiedBy>Tatevik</cp:lastModifiedBy>
  <cp:revision>6</cp:revision>
  <dcterms:created xsi:type="dcterms:W3CDTF">2018-05-25T11:24:00Z</dcterms:created>
  <dcterms:modified xsi:type="dcterms:W3CDTF">2019-03-18T12:04:00Z</dcterms:modified>
</cp:coreProperties>
</file>