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D5" w:rsidRDefault="00B74BD5" w:rsidP="00B74BD5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/>
        </w:rPr>
        <w:t>УТВЕРЖДЕНА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Решением Высшего Евразийского экономического совета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F0AE4">
        <w:rPr>
          <w:rFonts w:ascii="Sylfaen" w:hAnsi="Sylfaen"/>
          <w:sz w:val="24"/>
          <w:szCs w:val="24"/>
          <w:lang w:val="ru-RU"/>
        </w:rPr>
        <w:t>от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 </w:t>
      </w:r>
      <w:r w:rsidR="00AF0AE4" w:rsidRPr="001472C3">
        <w:rPr>
          <w:rFonts w:ascii="Sylfaen" w:hAnsi="Sylfaen"/>
          <w:sz w:val="24"/>
          <w:szCs w:val="24"/>
          <w:lang w:val="ru-RU"/>
        </w:rPr>
        <w:t>20 декабря 2017 г. № 9</w:t>
      </w:r>
      <w:r w:rsidR="00AF0AE4">
        <w:rPr>
          <w:rFonts w:ascii="Sylfaen" w:hAnsi="Sylfaen"/>
          <w:sz w:val="24"/>
          <w:szCs w:val="24"/>
        </w:rPr>
        <w:t>8</w:t>
      </w:r>
      <w:bookmarkStart w:id="0" w:name="_GoBack"/>
      <w:bookmarkEnd w:id="0"/>
    </w:p>
    <w:p w:rsidR="00B74BD5" w:rsidRPr="00AF0AE4" w:rsidRDefault="00B74BD5" w:rsidP="00B74BD5">
      <w:pPr>
        <w:pStyle w:val="Heading22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  <w:lang w:val="ru-RU"/>
        </w:rPr>
      </w:pPr>
      <w:r>
        <w:rPr>
          <w:rStyle w:val="Heading22Spacing2pt"/>
          <w:rFonts w:ascii="Sylfaen" w:hAnsi="Sylfaen"/>
          <w:sz w:val="24"/>
          <w:szCs w:val="24"/>
        </w:rPr>
        <w:t>ПРОГРАММА</w:t>
      </w:r>
    </w:p>
    <w:p w:rsidR="00B74BD5" w:rsidRPr="00AF0AE4" w:rsidRDefault="00B74BD5" w:rsidP="00B74BD5">
      <w:pPr>
        <w:pStyle w:val="Bodytext40"/>
        <w:shd w:val="clear" w:color="auto" w:fill="auto"/>
        <w:spacing w:line="240" w:lineRule="auto"/>
        <w:ind w:left="1134" w:right="1135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формирования общих рынков нефти и нефтепродуктов Евразийского экономического союза</w:t>
      </w:r>
    </w:p>
    <w:p w:rsidR="00B74BD5" w:rsidRDefault="00B74BD5" w:rsidP="00B74BD5">
      <w:pPr>
        <w:spacing w:after="120"/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I</w:t>
      </w:r>
      <w:r w:rsidRPr="00AF0AE4">
        <w:rPr>
          <w:rFonts w:ascii="Sylfaen" w:hAnsi="Sylfaen"/>
          <w:sz w:val="24"/>
          <w:szCs w:val="24"/>
          <w:lang w:val="ru-RU"/>
        </w:rPr>
        <w:t>. Общие положения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1. Основание разработки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1. Настоящая Программа разработана в соответствии со статьей 84 Договора о Евразийском экономическом союзе от 29 мая 2014 года (далее - Договор) с учетом положений статьи 79 Договора, Протокола о порядке организации, управления, функционирования и развития общих рынков нефти и нефтепродуктов (приложение № 23 к Договору) и Концепции формирования общих рынков нефти и нефтепродуктов Евразийского экономического союза, утвержденной Решением Высшего Евразийского экономического совета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AF0AE4">
        <w:rPr>
          <w:rFonts w:ascii="Sylfaen" w:hAnsi="Sylfaen"/>
          <w:sz w:val="24"/>
          <w:szCs w:val="24"/>
          <w:lang w:val="ru-RU"/>
        </w:rPr>
        <w:t>от 31 мая 2016 г. № 8 (далее - Концепция).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4020"/>
        <w:jc w:val="center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2. Определения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2. Для целей настоящей Программы используются понятия, которые означают следующее: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«биржевые торги нефтью и нефтепродуктами» - торги нефтью и нефтепродуктами, проводимые в соответствии с правилами проведения биржевых торгов нефтью и нефтепродуктами и направленные на совершение сделок с нефтью и нефтепродуктами на основе заявок, поданных в рамках единого биржевого пространства в торговую систему оператора биржевых торгов;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«доступ к системам транспортировки нефти и нефтепродуктов» - предоставление права использования систем транспортировки нефти и нефтепродуктов, управляемых операторами систем транспортировки нефти и нефтепродуктов, для транспортировки нефти и нефтепродуктов в рамках общих рынков нефти и нефтепродуктов Евразийского экономического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«единое биржевое пространство» - совокупность информационных и технологических отношений между операторами биржевых торгов и участниками общих рынков нефти и нефтепродуктов Евразийского экономического союза, связанных с совершением биржевых сделок с нефтью и нефтепродуктами;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«межгосударственная транспортировка нефти и нефтепродуктов» - перемещение нефти и нефтепродуктов любым способом от пункта приема, находящегося под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юрисдикцией одного государства - члена Евразийского экономического союза, до пункта сдачи (или через него), находящегося под юрисдикцией другого государства - члена Евразийского экономического союза, либо до пункта сдачи (или через него), не находящегося под юрисдикцией государства - члена Евразийского экономического союза, при условии, что такое перемещение осуществляется по территориям не менее 2 государств - членов Евразийского экономического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«пропускная способность» - максимально возможное количество нефти и нефтепродуктов, которое может транспортироваться по системе трубопроводов или по ее участку в единицу времени с учетом физических свойств нефти и (или) нефтепродуктов, соответствующих технических норм, свойств и состояния технологического оборудования такой системы или ее участка;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«сбыт нефти и нефтепродуктов» - передача на возмездной основе (в том числе обмен товарами) права собственности на нефть и нефтепродукты;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«технические возможности транспортировки нефти и нефтепродуктов» - максимально возможное количество нефти и нефтепродуктов, которое может транспортироваться по системе транспортировки нефти и нефтепродуктов от пункта приема до пункта сдачи за определенный период времени при условии соблюдения технологических режимов с учетом пропускной способности каждого технологического участка системы транспортировки нефти и нефтепродуктов в сутки, физических свойств нефти и (или) нефтепродуктов, а также состояния технологического оборудования такой системы или ее участка;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«торговля нефтью и нефтепродуктами» - предпринимательская деятельность, связанная со сбытом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«ценовые индикаторы» - цены на нефть и нефтепродукты, рассчитанные на основе цен сделок, совершенных в рамках единого биржевого пространства и (или) на внебиржевых рынках нефти и нефтепродуктов за определенный период времени с использованием методик, утверждаемых государствами - членами Евразийского экономического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Иные понятия, используемые в настоящей Программе, применяются в значениях, определенных Договором и Концепцией.</w:t>
      </w:r>
    </w:p>
    <w:p w:rsidR="00B74BD5" w:rsidRDefault="00B74BD5" w:rsidP="00B74BD5">
      <w:pPr>
        <w:spacing w:after="120"/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3. Цели и задачи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3. Целями настоящей Программы являются: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обеспечение готовности государств - членов Евразийского экономического союза (далее соответственно - государства-члены, Союз) к участию субъектов рынков нефти и нефтепродуктов государств-членов в общих рынках нефти и нефтепродуктов Союза, в том числе создание правовых и экономических условий для функционирования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2) обеспечение создания в государствах-членах условий, необходимых для реализации международного договора о формировании общих рынков нефти и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нефтепродуктов Союза, вступающего в силу не позднее 1 января 2025 г.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4. Задачами настоящей Программы являются: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создание, развитие и повышение эффективности рыночных механизмов торговли нефтью и нефтепродуктами между участниками общих рынков нефти и нефтепродуктов Союза, в том числе с использованием инструментов рыночного ценообразования, биржевых торгов и обеспечением добросовестной конкуренции;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создание условий для обеспечения недискриминационного доступа участников общих рынков нефти и нефтепродуктов Союза на рынки государств-членов (с учетом интересов экономик государств- членов), устранение количественных ограничений и вывозных таможенных пошлин (иных пошлин, налогов и сборов, имеющих эквивалентное значение) в торговле нефтью и нефтепродуктами между государствами-членами;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обеспечение гармонизации законодательства государств-членов в нефтяной сфере для формирования общих рынков нефти и нефтепродуктов Союза с учетом международных договоров между государствами-членами;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5) разработка правил функционирования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6) обеспечение контроля за соблюдением требований законодательства государств-членов в области защиты конкуренции, включая контроль соблюдения участниками общих рынков нефти и нефтепродуктов Союза запретов в части создания дискриминационных условий, контроль применения тарифов (цен) хозяйствующими субъектами, оказывающими услуги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7) обеспечение в пределах имеющихся технических возможностей гарантированного осуществления долгосрочной транспортировки нефти и нефтепродуктов по системе транспортировки нефти и нефтепродуктов на территориях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8) обеспечение информационного обмена между государствами- членами статистической информацией о добыче, транспортировке, поставке, переработке, сбыте и потреблении нефти и нефтепродуктов на территориях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9) создание благоприятных условий для привлечения инвестиций</w:t>
      </w:r>
      <w:r w:rsidRPr="00AF0AE4">
        <w:rPr>
          <w:rFonts w:ascii="Sylfaen" w:hAnsi="Sylfaen"/>
          <w:sz w:val="24"/>
          <w:szCs w:val="24"/>
          <w:lang w:val="ru-RU"/>
        </w:rPr>
        <w:t xml:space="preserve"> в сферы добычи, транспортировки, поставки, переработки и сбыта нефти и нефтепродуктов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40" w:firstLine="720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10) обеспечение соблюдения норм экологической безопасности.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20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4. Ожидаемые результаты реализации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5. В результате реализации настоящей Программы будут сформированы общие рынки нефти и нефтепродуктов Союза, обеспечен недискриминационный доступ хозяйствующих субъектов государств- членов на общие рынки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6. В рамках общих рынков нефти и нефтепродуктов Союза будут формироваться единое биржевое пространство, прозрачные биржевые и внебиржевые ценовые индикаторы на общих рынках нефти и нефтепродуктов Союза, будет обеспечен недискриминационный доступ хозяйствующих субъектов государств-членов к биржевым торгам нефтью и нефтепродуктами, а также будет определен механизм исполнения сделок (договоров), совершенных в рамках единого биржевого пространства.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7. Развитие общих рынков нефти и нефтепродуктов Союза будет способствовать дальнейшему укреплению международного сотрудничества Союза и государств-членов с участниками мирового рынка энергетических ресурсов, в том числе за счет роста торгового оборота и привлечения иностранных инвестиций.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8. Формирование общих рынков нефти и нефтепродуктов Союза приведет к дальнейшему экономическому развитию государств-членов, укреплению энергетической безопасности и росту конкурентоспособности товаров государств-членов на мировом рынке энергетических ресурсов.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  <w:lang w:val="ru-RU" w:bidi="en-US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 w:eastAsia="ru-RU" w:bidi="ru-RU"/>
        </w:rPr>
      </w:pPr>
      <w:r>
        <w:rPr>
          <w:rFonts w:ascii="Sylfaen" w:hAnsi="Sylfaen"/>
          <w:sz w:val="24"/>
          <w:szCs w:val="24"/>
          <w:lang w:bidi="en-US"/>
        </w:rPr>
        <w:t>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AF0AE4">
        <w:rPr>
          <w:rFonts w:ascii="Sylfaen" w:hAnsi="Sylfaen"/>
          <w:sz w:val="24"/>
          <w:szCs w:val="24"/>
          <w:lang w:val="ru-RU"/>
        </w:rPr>
        <w:t>Система мероприятий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1. Сроки и этапы реализации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9. Реализация мероприятий настоящей Программы осуществляется в соответствии со следующими этапами и сроками: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1)  этап </w:t>
      </w:r>
      <w:r>
        <w:rPr>
          <w:rFonts w:ascii="Sylfaen" w:hAnsi="Sylfaen"/>
          <w:sz w:val="24"/>
          <w:szCs w:val="24"/>
          <w:lang w:bidi="en-US"/>
        </w:rPr>
        <w:t>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(2018 - 2021 годы) - создание организационной и методической основы формирования общих рынков нефти и нефтепродуктов Союза, гармонизация законодательства государств- членов в соответствии с планом мероприятий («дорожной картой») по гармонизации законодательства государств-членов в нефтяной сфере;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2) этап </w:t>
      </w:r>
      <w:r>
        <w:rPr>
          <w:rFonts w:ascii="Sylfaen" w:hAnsi="Sylfaen"/>
          <w:sz w:val="24"/>
          <w:szCs w:val="24"/>
          <w:lang w:bidi="en-US"/>
        </w:rPr>
        <w:t>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(2021 - 2024 годы) - подготовка и согласование уполномоченными органами государств-членов проекта международного договора о формировании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3) этап </w:t>
      </w:r>
      <w:r>
        <w:rPr>
          <w:rFonts w:ascii="Sylfaen" w:hAnsi="Sylfaen"/>
          <w:sz w:val="24"/>
          <w:szCs w:val="24"/>
          <w:lang w:bidi="en-US"/>
        </w:rPr>
        <w:t>III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(до 1 января 2025 г.) - вступление в силу международного договора о формировании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10. Евразийская экономическая комиссия (далее - Комиссия) проводит мониторинг выполнения настоящей Программы, по результатам которого ежегодно готовит доклад о ходе формирования общих рынков нефти и нефтепродуктов Союза и предложения о переходе к очередному этапу формирования общих рынков нефти и нефтепродуктов Союза, в том числе предложения о реализации не предусмотренных настоящей Программой мероприятий (включая разработку и принятие актов органов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Союза). Указанные предложения направляются в государства-члены для согласования. С учетом согласованных предложений Высший Евразийский экономический совет принимает решение о переходе к очередному этапу формирования общих рынков нефти и нефтепродуктов Союза и определяет содержание этого этапа. Комиссия ежегодно информирует Евразийский межправительственный совет о результатах мониторинга.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60" w:right="140" w:firstLine="700"/>
        <w:rPr>
          <w:rFonts w:ascii="Sylfaen" w:hAnsi="Sylfaen"/>
          <w:sz w:val="24"/>
          <w:szCs w:val="24"/>
          <w:lang w:val="ru-RU" w:eastAsia="ru-RU" w:bidi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2. Разработка актов, регулирующих общие рынки нефти и нефтепродуктов Союза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11. Комиссия и государства-члены разрабатывают акты по вопросам формирования и функционирования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В отношении хозяйствующих субъектов, оказывающих услуги по транспортировке нефти и нефтепродуктов в рамках общих рынков нефти и нефтепродуктов Союза, применяются акты, регулирующие общие рынки нефти и нефтепродуктов Союза, а также требования законодательства по вопросам регулирования деятельности субъектов естественных монополий и по вопросам в области защиты конкуренции государства-члена, на территории которого осуществляется деятельность хозяйствующих субъектов, оказывающих услуги по транспортировке нефти и нефтепродуктов в рамках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00" w:right="200" w:firstLine="740"/>
        <w:rPr>
          <w:rFonts w:ascii="Sylfaen" w:hAnsi="Sylfaen"/>
          <w:sz w:val="24"/>
          <w:szCs w:val="24"/>
          <w:lang w:val="ru-RU" w:eastAsia="ru-RU" w:bidi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Разработка правил торговли нефтью и нефтепродуктами на общих рынках нефти и нефтепродуктов Союза, включая правила проведения биржевых торгов нефтью и нефтепродуктами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12. Правила торговли нефтью и нефтепродуктами на общих рынках нефти и нефтепродуктов Союза должны регулировать отношения по купле-продаже (поставке) нефти и нефтепродуктов на общих рынках нефти и нефтепродуктов Союза, в том числе: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отношения между органами государственной власти и хозяйствующими субъектами государств-членов, возникающие при осуществлении торговли нефтью и нефтепродуктами, а также отношения между хозяйствующими субъектами государств-членов, возникающие при осуществлении ими торговой деятельности;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принципы рыночного ценообразования в отношении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механизмы мониторинга состояния рынка нефти и нефтепродуктов Союза и осуществления биржевых торгов нефтью и нефтепродуктами;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правила проведения биржевых торгов нефтью и нефтепродуктами;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5) порядок осуществления перепродажи в третьи страны нефти и нефтепродуктов, приобретенных в рамках общих рынков нефти и нефтепродуктов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Союза, предусматривающий недопущение преимуществ, возникающих вследствие разницы ставок вывозных таможенных пошлин государств-членов.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13. Составной частью правил торговли нефтью и нефтепродуктами на общих рынках нефти и нефтепродуктов Союза являются правила проведения биржевых торгов нефтью и нефтепродуктами, в которых в том числе определяются: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требования для получения лицензии оператора биржевых торгов и включения в состав единого биржевого пространства;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принципы безопасности, надежности систем расчетов и функциональной совместимости операторов биржевых торгов;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механизмы взаиморасчетов и клиринга в рамках единого биржевого пространства;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необходимость регистрации договоров на внебиржевом рынке;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5) принципы участия хозяйствующих субъектов одних государств- членов на биржевых площадках других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6) принципы формирования ценовых индикаторов (биржевых и внебиржевых) на общих рынках нефти и нефтепродуктов Союза и их взаимного учета в рамках единого биржевого пространства.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14. Порядок принятия правил торговли нефтью и нефтепродуктами на общих рынках нефти и нефтепродуктов Союза определяется международным договором о формировании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60" w:right="140" w:firstLine="700"/>
        <w:rPr>
          <w:rFonts w:ascii="Sylfaen" w:hAnsi="Sylfaen"/>
          <w:sz w:val="24"/>
          <w:szCs w:val="24"/>
          <w:lang w:val="ru-RU" w:eastAsia="ru-RU" w:bidi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418" w:right="1418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Унификация норм и стандартов на нефть, нефтепродукты и системы их транспортировки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15. Унификация норм, стандартов на нефть и нефтепродукты и нормативно-технических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AF0AE4">
        <w:rPr>
          <w:rFonts w:ascii="Sylfaen" w:hAnsi="Sylfaen"/>
          <w:sz w:val="24"/>
          <w:szCs w:val="24"/>
          <w:lang w:val="ru-RU"/>
        </w:rPr>
        <w:t>документов,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AF0AE4">
        <w:rPr>
          <w:rFonts w:ascii="Sylfaen" w:hAnsi="Sylfaen"/>
          <w:sz w:val="24"/>
          <w:szCs w:val="24"/>
          <w:lang w:val="ru-RU"/>
        </w:rPr>
        <w:t xml:space="preserve">регламентирующих функционирование систем транспортировки нефти и нефтепродуктов, а также выработка рекомендаций по обеспечению точности измерений количества и параметров качества нефти и нефтепродуктов с учетом мировых практик, по реализации метрологического обеспечения измерений в рамках национальных систем стандартизации государств- членов и по гармонизации метрологических требований к измерениям количества и параметров качества нефти и нефтепродуктов осуществляются в соответствии с разделом </w:t>
      </w:r>
      <w:r>
        <w:rPr>
          <w:rFonts w:ascii="Sylfaen" w:hAnsi="Sylfaen"/>
          <w:sz w:val="24"/>
          <w:szCs w:val="24"/>
        </w:rPr>
        <w:t>X</w:t>
      </w:r>
      <w:r w:rsidRPr="00AF0AE4">
        <w:rPr>
          <w:rFonts w:ascii="Sylfaen" w:hAnsi="Sylfaen"/>
          <w:sz w:val="24"/>
          <w:szCs w:val="24"/>
          <w:lang w:val="ru-RU"/>
        </w:rPr>
        <w:t xml:space="preserve"> Договора.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Разработка единых правил доступа к системам транспортировки нефти и нефтепродуктов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16. Разработка единых правил доступа к системам транспортировки нефти и нефтепродуктов (далее - единые правила) осуществляется в соответствии с принципами, указанными в статье 84 Договора и разделах </w:t>
      </w:r>
      <w:r>
        <w:rPr>
          <w:rFonts w:ascii="Sylfaen" w:hAnsi="Sylfaen"/>
          <w:sz w:val="24"/>
          <w:szCs w:val="24"/>
          <w:lang w:bidi="en-US"/>
        </w:rPr>
        <w:t>III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и </w:t>
      </w:r>
      <w:r>
        <w:rPr>
          <w:rFonts w:ascii="Sylfaen" w:hAnsi="Sylfaen"/>
          <w:sz w:val="24"/>
          <w:szCs w:val="24"/>
          <w:lang w:bidi="en-US"/>
        </w:rPr>
        <w:t>IV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Концепции.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17. Единые правила включаются в международный договор о формировании общих рынков нефти и нефтепродуктов Союза в качестве приложения.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18. Регулирование вопросов доступа к услугам железнодорожного транспорта по перевозке нефти и нефтепродуктов осуществляется в соответствии с разделами </w:t>
      </w:r>
      <w:r>
        <w:rPr>
          <w:rFonts w:ascii="Sylfaen" w:hAnsi="Sylfaen"/>
          <w:sz w:val="24"/>
          <w:szCs w:val="24"/>
          <w:lang w:bidi="en-US"/>
        </w:rPr>
        <w:t>XIX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и </w:t>
      </w:r>
      <w:r>
        <w:rPr>
          <w:rFonts w:ascii="Sylfaen" w:hAnsi="Sylfaen"/>
          <w:sz w:val="24"/>
          <w:szCs w:val="24"/>
          <w:lang w:bidi="en-US"/>
        </w:rPr>
        <w:t>XXI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Договора, а также с Протоколом о единых принципах и правилах регулирования деятельности субъектов естественных монополий (приложение № 20 к Договору) и Протоколом о скоординированной (согласованной) транспортной политике (приложение № 24 к Договору).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19. Единые правила регулируют вопросы транспортировки нефти и нефтепродуктов по системам транспортировки нефти и нефтепродуктов, в том числе взаимоотношения операторов систем транспортировки нефти и нефтепродуктов государств-членов и участников общих рынков нефти и нефтепродуктов Союза, определяют принципы и условия доступа к услугам в сфере транспортировки нефти и нефтепродуктов в рамках общих рынков нефти и нефтепродуктов Союза с учетом принципа приоритетного обеспечения потребностей государств-членов в нефти и нефтепродуктах и особенностей, установленных разделом </w:t>
      </w:r>
      <w:r>
        <w:rPr>
          <w:rFonts w:ascii="Sylfaen" w:hAnsi="Sylfaen"/>
          <w:sz w:val="24"/>
          <w:szCs w:val="24"/>
          <w:lang w:bidi="en-US"/>
        </w:rPr>
        <w:t>XIX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Договора и Протоколом о единых принципах и правилах регулирования деятельности субъектов естественных монополий (приложение № 20 к Договору), и включают в себя: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порядок предоставления доступа к услугам по транспортировке нефти и нефтепродуктов в рамках общих рынков нефти и нефтепродуктов Союза, в том числе в случае отсутствия необходимого объема мощностей для удовлетворения всех поступивших заявок на транспортировку нефти и нефтепродуктов, а также с учетом технических возможностей систем транспортировки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 порядок и сроки подачи (рассмотрения) заявок на транспортировку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порядок и сроки заключения, существенные условия договоров на оказание услуг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порядок и принципы определения технических возможностей транспортировки нефти и нефтепродуктов между хозяйствующими субъектами государств-членов с учетом заявок на осуществление транспортировки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5) порядок осуществления транспортировки и транзита нефти и нефтепродуктов по территориям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6) права и обязанности потребителей услуг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7) права и обязанности операторов систем транспортировки нефти и нефтепродуктов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8) порядок опубликования информации (стандарты раскрытия информации) о тарифах (ценах) на услуги по транспортировке нефти и нефтепродуктов в рамках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общих рынков нефти и нефтепродуктов Союза, методик тарифообразования (ценообразования) в отношении указанных услуг;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9) порядок разрешения споров по вопросам предоставления доступа к системам транспортировки нефти и нефтепродуктов и оказания услуг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10) общие принципы и методы тарифообразования, а также общие принципы ценообразования в отношении услуг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11) иные положения, необходимые для обеспечения создания и функционирования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20. Объемы транспортировки нефти и нефтепродуктов определяются гражданско-правовыми договорами хозяйствующих субъектов государств-членов в соответствии с законодательством этих государств.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21. Государствами-членами обеспечиваются: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опубликование информации (стандартов раскрытия информации) о тарифах (ценах) на услуги по транспортировке нефти и нефтепродуктов в рамках общих рынков нефти и нефтепродуктов Союза, методик тарифообразования (ценообразования) в отношении указанных услуг;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гармонизация законодательства государств-членов в нефтяной сфере с учетом международных договоров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контроль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нефти и нефтепродуктов в рамках общих рынков нефти и нефтепродуктов Союза.</w:t>
      </w:r>
    </w:p>
    <w:p w:rsidR="00B74BD5" w:rsidRDefault="00B74BD5" w:rsidP="00B74BD5">
      <w:pPr>
        <w:spacing w:after="120"/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418" w:right="1418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Заключение международного договора о формировании общих рынков нефти и нефтепродуктов Союза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22. Заключение международного договора о формировании общих рынков нефти и нефтепродуктов Союза осуществляется во исполнение положений статей 84 и 104 Договора и раздела </w:t>
      </w:r>
      <w:r>
        <w:rPr>
          <w:rFonts w:ascii="Sylfaen" w:hAnsi="Sylfaen"/>
          <w:sz w:val="24"/>
          <w:szCs w:val="24"/>
          <w:lang w:bidi="en-US"/>
        </w:rPr>
        <w:t>XIV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Концепции.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23. Международный договор о формировании общих рынков нефти и нефтепродуктов Союза должен включать в себя: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 принципы формирования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правила торговли нефтью и нефтепродуктами на общих рынках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3) единые правила;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порядок раскрытия информации о технических возможностях транспортировки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5) принципы недискриминационного и прозрачного распределения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технических возможностей транспортировки нефти и нефтепродуктов между участниками общих рынков нефти и нефтепродуктов Союза, а также устранения административных барьеров в части технологической доступности систем транспортировки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6) порядок информационного обмена между государствами- членами данными о потреблении нефти и нефтепродуктов, добыче, транспортировке, поставке, переработке и сбыте нефти и нефтепродуктов на территориях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7) положения об обеспечении транзита и (или) межгосударственной транспортировки нефти и нефтепродуктов для внутреннего потребления государствами-членами и (или) для экспорта с территорий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8) положения о компетенции и полномочиях органов Союза и уполномоченных органов государств-членов по формированию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9) общие требования к обеспечению экологической безопасности на общих рынках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10) иные положения, необходимые для обеспечения создания и функционирования общих рынков нефти и нефтепродуктов Союза.</w:t>
      </w:r>
    </w:p>
    <w:p w:rsidR="00B74BD5" w:rsidRDefault="00B74BD5" w:rsidP="00B74BD5">
      <w:pPr>
        <w:spacing w:after="120"/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Разработка механизмов мониторинга функционирования общих рынков нефти и нефтепродуктов Союза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24. Механизмы мониторинга функционирования общих рынков нефти и нефтепродуктов Союза включают в себя в том числе: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разработку и согласование индикативных (прогнозных) балансов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разработку форм и порядка осуществления</w:t>
      </w:r>
      <w:r w:rsidRPr="00AF0AE4">
        <w:rPr>
          <w:rFonts w:ascii="Sylfaen" w:hAnsi="Sylfaen"/>
          <w:sz w:val="24"/>
          <w:szCs w:val="24"/>
          <w:lang w:val="ru-RU"/>
        </w:rPr>
        <w:t xml:space="preserve"> мониторинга функционирования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Обеспечение экологической безопасности в нефтяной сфере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25. Государства-члены ориентируются на использование лучшей мировой практики в сфере экологической безопасности нефтяной сферы, защиты природной среды, жизни и здоровья граждан и прав потребителей.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26. Государства-члены стремятся к унификации требований и гармонизации своего законодательства в сфере экологической безопасности нефтяной сферы, защиты природной среды, жизни и здоровья граждан и прав потребителей.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27. Положения, касающиеся обеспечения экологической безопасности, включаются в международный договор о формировании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40" w:right="160" w:firstLine="720"/>
        <w:rPr>
          <w:rFonts w:ascii="Sylfaen" w:hAnsi="Sylfaen"/>
          <w:sz w:val="24"/>
          <w:szCs w:val="24"/>
          <w:lang w:val="ru-RU" w:eastAsia="ru-RU" w:bidi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Организация системы информационного обмена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28. Система информационного обмена реализуется в рамках интегрированной информационной системы Союза в соответствии со статьями 23 и 24 Договора,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Договору), Протоколом о порядке формирования и распространения официальной статистической информации Евразийского экономического союза (приложение № 4 к Договору), а также в соответствии с разделами </w:t>
      </w:r>
      <w:r>
        <w:rPr>
          <w:rFonts w:ascii="Sylfaen" w:hAnsi="Sylfaen"/>
          <w:sz w:val="24"/>
          <w:szCs w:val="24"/>
          <w:lang w:bidi="en-US"/>
        </w:rPr>
        <w:t>VIII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и </w:t>
      </w:r>
      <w:r>
        <w:rPr>
          <w:rFonts w:ascii="Sylfaen" w:hAnsi="Sylfaen"/>
          <w:sz w:val="24"/>
          <w:szCs w:val="24"/>
          <w:lang w:bidi="en-US"/>
        </w:rPr>
        <w:t>X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Концепции.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29. Система информационного обмена обеспечивает взаимодействие уполномоченных органов государств-членов, Комиссии и хозяйствующих субъектов государств-членов по предоставлению информации в объеме, предусмотренном в документах</w:t>
      </w:r>
      <w:r w:rsidRPr="00AF0AE4">
        <w:rPr>
          <w:rFonts w:ascii="Sylfaen" w:hAnsi="Sylfaen"/>
          <w:sz w:val="24"/>
          <w:szCs w:val="24"/>
          <w:lang w:val="ru-RU"/>
        </w:rPr>
        <w:t>,регламентирующих информационное взаимодействие в рамках системы информационного обмена, а также в соответствии с положениями международного договора о формировании общих рынков нефти и нефтепродуктов Союза. Включение информации, поступающей от хозяйствующих субъектов государства-члена, в национальный сегмент интегрированной информационной системы Союза обеспечивается уполномоченным органом этого государства-члена.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30. Доступ к информации, включенной в систему информационного обмена, предоставляется уполномоченным органам государств-членов, Комиссии и хозяйствующим субъектам государств- членов, прошедшим предварительную авторизацию.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31. До вступления в силу международного договора о формировании общих рынков нефти и нефтепродуктов Союза перечень информации, предоставляемой в процессе взаимодействия уполномоченных органов государств-членов, Комиссии и хозяйствующих субъектов государств-членов в электронной форме, определяется в соответствии с Договором.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/>
        </w:rPr>
        <w:t>Обмен технологической информацией между операторами систем транспортировки нефти и нефтепродуктов государств-членов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 xml:space="preserve">32. Обмен технологической информацией между операторами систем транспортировки нефти и нефтепродуктов государств-членов в объеме, необходимом </w:t>
      </w:r>
      <w:r w:rsidRPr="00AF0AE4">
        <w:rPr>
          <w:rFonts w:ascii="Sylfaen" w:hAnsi="Sylfaen"/>
          <w:sz w:val="24"/>
          <w:szCs w:val="24"/>
          <w:lang w:val="ru-RU"/>
        </w:rPr>
        <w:lastRenderedPageBreak/>
        <w:t xml:space="preserve">для обеспечения бесперебойной межгосударственной транспортировки нефти и </w:t>
      </w:r>
      <w:r w:rsidRPr="00AF0AE4">
        <w:rPr>
          <w:rFonts w:ascii="Sylfaen" w:hAnsi="Sylfaen"/>
          <w:sz w:val="24"/>
          <w:szCs w:val="24"/>
          <w:lang w:val="ru-RU" w:bidi="en-US"/>
        </w:rPr>
        <w:t>нефтепродуктов</w:t>
      </w:r>
      <w:r w:rsidRPr="00AF0AE4">
        <w:rPr>
          <w:rFonts w:ascii="Sylfaen" w:hAnsi="Sylfaen"/>
          <w:sz w:val="24"/>
          <w:szCs w:val="24"/>
          <w:lang w:val="ru-RU"/>
        </w:rPr>
        <w:t>, осуществляется по взаимной договоренности операторов систем транспортировки нефти и нефтепродуктов государств-членов в соответствии с едиными правилами.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60" w:right="160" w:firstLine="700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Разработка (доработка) программно-аппаратных комплексов операторов биржевых торгов и клиринговых организаций, необходимых для осуществления биржевых торгов нефтью и нефтепродуктами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33. Разработка (доработка) программно-аппаратных комплексов операторов биржевых торгов нефтью и нефтепродуктами осуществляется в соответствии с разделом </w:t>
      </w:r>
      <w:r>
        <w:rPr>
          <w:rFonts w:ascii="Sylfaen" w:hAnsi="Sylfaen"/>
          <w:sz w:val="24"/>
          <w:szCs w:val="24"/>
          <w:lang w:bidi="en-US"/>
        </w:rPr>
        <w:t>VIII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Концепции.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34. С целью разработки (доработки) программно-аппаратных комплексов: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определяются принципы взаимодействия программноаппаратных комплексов операторов биржевых торгов нефтью и нефтепродуктами и клиринговых организаций;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осуществляется аудит программно-аппаратных комплексов, определяются направления их разработки (доработки);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формируются принципы и архитектура технического решения, а также план действий по разработке (доработке) программноаппаратных комплексов.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/>
        </w:rPr>
        <w:t>Реализация пилотных проектов по осуществлению биржевых торгов нефтью и нефтепродуктами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35.  В рамках формирования общих рынков нефти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AF0AE4">
        <w:rPr>
          <w:rFonts w:ascii="Sylfaen" w:hAnsi="Sylfaen"/>
          <w:sz w:val="24"/>
          <w:szCs w:val="24"/>
          <w:lang w:val="ru-RU"/>
        </w:rPr>
        <w:t xml:space="preserve">и нефтепродуктов Союза уполномоченные органы государств-членов совместно с Комиссией оценивают </w:t>
      </w:r>
      <w:r w:rsidRPr="00AF0AE4">
        <w:rPr>
          <w:rFonts w:ascii="Sylfaen" w:hAnsi="Sylfaen"/>
          <w:sz w:val="24"/>
          <w:szCs w:val="24"/>
          <w:lang w:val="ru-RU" w:bidi="en-US"/>
        </w:rPr>
        <w:t>необходимость</w:t>
      </w:r>
      <w:r w:rsidRPr="00AF0AE4">
        <w:rPr>
          <w:rFonts w:ascii="Sylfaen" w:hAnsi="Sylfaen"/>
          <w:sz w:val="24"/>
          <w:szCs w:val="24"/>
          <w:lang w:val="ru-RU"/>
        </w:rPr>
        <w:t xml:space="preserve"> реализации пилотных проектов по осуществлению биржевых торгов нефтью и нефтепродуктами и организации системы информационного обмена между Комиссией, уполномоченными органами государств-членов и хозяйствующими субъектами государств-членов.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40" w:firstLine="680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Гармонизация законодательства государств-членов в нефтяной сфере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36. Комиссия по согласованию с уполномоченными органами государств-членов определяет форму представления информации для проведения сравнительного анализа законодательства государств- членов в нефтяной сфере (включая нормы и правила функционирования технологической и коммерческой инфраструктуры государств-членов, обеспечивающие формирование общих рынков нефти и нефтепродуктов Союза) и международных договоров между государствами-членами в нефтяной сфере.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37. По итогам сравнительного анализа законодательства государств-членов в нефтяной сфере Комиссия формирует сводный отчет, на основании которого уполномоченные органы государств- членов совместно с Комиссией осуществляют подготовку плана мероприятий («дорожной карты») по гармонизации законодательства государств-членов в нефтяной сфере и определяют базовые подходы и принципы формирования общих рынков нефти и нефтепродуктов Союза, которым должны соответствовать нормативные правовые акты государств-членов, подлежащие гармонизации.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38. Государства-члены организуют работу по приведению международных договоров, заключенных между собой в области поставок нефти и нефтепродуктов, определения и порядка уплаты вывозных таможенных пошлин (иных пошлин, налогов и сборов, имеющих эквивалентное действие), в соответствие с базовыми подходами и принципами формирования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39. В рамках осуществления мониторинга Комиссия проводит анализ изменений, внесенных в нормативные правовые акты государств-членов и международные договоры государств-членов в нефтяной сфере, на предмет их соответствия базовым подходам и принципам формирования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60" w:firstLine="720"/>
        <w:rPr>
          <w:rFonts w:ascii="Sylfaen" w:hAnsi="Sylfaen"/>
          <w:sz w:val="24"/>
          <w:szCs w:val="24"/>
          <w:lang w:val="ru-RU" w:eastAsia="ru-RU" w:bidi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/>
        </w:rPr>
        <w:t xml:space="preserve">Развитие международного сотрудничества </w:t>
      </w:r>
      <w:r w:rsidRPr="00AF0AE4">
        <w:rPr>
          <w:rFonts w:ascii="Sylfaen" w:hAnsi="Sylfaen"/>
          <w:sz w:val="24"/>
          <w:szCs w:val="24"/>
          <w:lang w:val="ru-RU" w:bidi="en-US"/>
        </w:rPr>
        <w:t>государств-членов в нефтяной сфере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40. Развитие международного сотрудничества государств-членов в нефтяной сфере реализуется в соответствии с разделом </w:t>
      </w:r>
      <w:r>
        <w:rPr>
          <w:rFonts w:ascii="Sylfaen" w:hAnsi="Sylfaen"/>
          <w:sz w:val="24"/>
          <w:szCs w:val="24"/>
          <w:lang w:bidi="en-US"/>
        </w:rPr>
        <w:t>VII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Концепции и осуществляется в целях обеспечения энергетической безопасности государств-членов, а также укрепления их позиций на мировом рынке энергетических ресурсов.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41. Мероприятия по развитию международного сотрудничества государств-членов в нефтяной сфере реализуются во взаимодействии между Комиссией и государствами-членами при участии хозяйствующих субъектов государств-членов</w:t>
      </w:r>
      <w:r w:rsidRPr="00AF0AE4">
        <w:rPr>
          <w:rFonts w:ascii="Sylfaen" w:hAnsi="Sylfaen"/>
          <w:sz w:val="24"/>
          <w:szCs w:val="24"/>
          <w:lang w:val="ru-RU"/>
        </w:rPr>
        <w:t>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60" w:firstLine="720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2268" w:right="2269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Мониторинг биржевых и внебиржевых ценовых индикаторов на мировом рынке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42. Для обеспечения мониторинга биржевых и внебиржевых ценовых индикаторов на мировом рынке: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утверждается перечень биржевых и внебиржевых площадок для мониторинга биржевых и внебиржевых ценовых индикаторов на мировом рынке;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утверждается перечень товаров (нефть и нефтепродукты), подлежащих мониторингу;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утверждается порядок анализа ценовых индикаторов;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4) формируется механизм доведения информации о ценовых индикаторах до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сведения хозяйствующих</w:t>
      </w:r>
      <w:r w:rsidRPr="00AF0AE4">
        <w:rPr>
          <w:rFonts w:ascii="Sylfaen" w:hAnsi="Sylfaen"/>
          <w:sz w:val="24"/>
          <w:szCs w:val="24"/>
          <w:lang w:val="ru-RU"/>
        </w:rPr>
        <w:t xml:space="preserve"> субъектов государств-членов.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340" w:right="160" w:firstLine="700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Привлечение инвестиций в нефтяную сферу государств-членов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43. Перечень мероприятий по привлечению инвестиций в нефтяную сферу государств-членов формируется в соответствии с разделом </w:t>
      </w:r>
      <w:r>
        <w:rPr>
          <w:rFonts w:ascii="Sylfaen" w:hAnsi="Sylfaen"/>
          <w:sz w:val="24"/>
          <w:szCs w:val="24"/>
          <w:lang w:bidi="en-US"/>
        </w:rPr>
        <w:t>XV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Договора и с учетом положений, предусмотренных разделом </w:t>
      </w:r>
      <w:r>
        <w:rPr>
          <w:rFonts w:ascii="Sylfaen" w:hAnsi="Sylfaen"/>
          <w:sz w:val="24"/>
          <w:szCs w:val="24"/>
          <w:lang w:bidi="en-US"/>
        </w:rPr>
        <w:t>XI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Концепции.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44. Мероприятия по привлечению инвестиций в нефтяную сферу государств-членов включают в себя меры по обеспечению благоприятного инвестиционного климата, а также меры по содействию реализации инфраструктурных проектов.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45. Формирование благоприятного инвестиционного климата предусматривает изменение в государствах-членах финансово- экономических и правовых условий с целью повышения эффективности инвестирования и снижения инвестиционных рисков.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Реализация инфраструктурных проектов в нефтяной сфере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46. Инфраструктурные проекты в нефтяной сфере реализуются с учетом заключенных международных договоров, а также принятых программ развития государств-членов и (или) их хозяйствующих субъектов.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47. В целях содействия реализации инфраструктурных проектов в нефтяной сфере: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1) государства-члены создают на своих территориях благоприятные условия для осуществления инфраструктурных </w:t>
      </w:r>
      <w:r w:rsidRPr="00AF0AE4">
        <w:rPr>
          <w:rFonts w:ascii="Sylfaen" w:hAnsi="Sylfaen"/>
          <w:sz w:val="24"/>
          <w:szCs w:val="24"/>
          <w:lang w:val="ru-RU"/>
        </w:rPr>
        <w:t>проектов, реализация которых возможна в рамках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2) государства-члены совместно определяют и реализуют инфраструктурные проекты в нефтяной сфере, представляющие для них взаимный интерес, в том числе обеспечивающие развитие систем транспортировки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операторы систем транспортировки нефти и нефтепродуктов государств-членов осуществляют взаимное информирование о планах развития систем транспортировки нефти и нефтепродуктов, влияющих на взаимную торговлю нефтью и нефтепродуктами между участниками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48. Инфраструктурные проекты в нефтяной сфере реализуются в соответствии с положениями Протокола о торговле услугами, учреждении, деятельности и осуществлении инвестиций (приложение № 16 к Договору</w:t>
      </w:r>
      <w:r w:rsidRPr="00AF0AE4">
        <w:rPr>
          <w:rFonts w:ascii="Sylfaen" w:hAnsi="Sylfaen"/>
          <w:sz w:val="24"/>
          <w:szCs w:val="24"/>
          <w:lang w:val="ru-RU"/>
        </w:rPr>
        <w:t>).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III</w:t>
      </w:r>
      <w:r w:rsidRPr="00AF0AE4">
        <w:rPr>
          <w:rFonts w:ascii="Sylfaen" w:hAnsi="Sylfaen"/>
          <w:sz w:val="24"/>
          <w:szCs w:val="24"/>
          <w:lang w:val="ru-RU"/>
        </w:rPr>
        <w:t>. Обеспечение реализации Программы Взаимодействие уполномоченных органов государств-членов в рамках реализации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49. В целях осуществления взаимодействия уполномоченных органов государств-членов по реализации настоящей Программы Комиссией формируется рабочая группа в составе представителей государственных органов и хозяйствующих субъектов государств- членов, а также юридических лиц, являющихся операторами и (или) собственниками систем транспортировки нефти и нефтепродуктов, нефтехранилищ и складской инфраструктуры, расположенных на территориях государств-членов, операторов биржевых торгов.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50. Рабочая группа, указанная в пункте 49 настоящей Программы, осуществляет мониторинг функционирования и регулирования общих рынков нефти и нефтепродуктов Союза, в том числе: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^предоставления доступа к системам транспортировки нефти и нефтепродуктов и обеспечения транзита нефти и нефтепродуктов;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формирования механизмов рыночного ценообразования и развития биржевых торгов нефтью и нефтепродуктами;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формирования технологической основы общих рынков нефти и нефтепродуктов Союза и реализации информационного обмена;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4) развития международного сотрудничества и привлечения инвестиций в нефтяную сферу государств-членов.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val="ru-RU" w:eastAsia="ru-RU" w:bidi="ru-RU"/>
        </w:rPr>
      </w:pPr>
      <w:r>
        <w:rPr>
          <w:rFonts w:ascii="Sylfaen" w:hAnsi="Sylfaen"/>
          <w:sz w:val="24"/>
          <w:szCs w:val="24"/>
        </w:rPr>
        <w:t>IV</w:t>
      </w:r>
      <w:r w:rsidRPr="00AF0AE4">
        <w:rPr>
          <w:rFonts w:ascii="Sylfaen" w:hAnsi="Sylfaen"/>
          <w:sz w:val="24"/>
          <w:szCs w:val="24"/>
          <w:lang w:val="ru-RU"/>
        </w:rPr>
        <w:t>. Ресурсное обеспечение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1. Порядок и механизмы финансирования реализации Программы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right="180"/>
        <w:jc w:val="center"/>
        <w:rPr>
          <w:rFonts w:ascii="Sylfaen" w:hAnsi="Sylfaen"/>
          <w:sz w:val="24"/>
          <w:szCs w:val="24"/>
          <w:lang w:val="ru-RU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51. Финансовое обеспечение реализации настоящей Программы осуществляется Комиссией в соответствии с ее полномочиями за счет средств бюджета Союза, уполномоченными органами государств-членов за счет средств бюджетов государств-членов и (или) внебюджетных источников в соответствии с законодательством этих государств.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52. При реализации настоящей Программы: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lang w:val="ru-RU" w:bidi="en-US"/>
        </w:rPr>
        <w:t>1)за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счет средств бюджета Союза (средств бюджетной сметы Комиссии) финансируются выполняемые Комиссией мероприятия по разработке актов органов Союза и развитию интеграционного сегмента интегрированной информационной системы Союза в целях реализации и обеспечения функционирования системы информационного обмена между уполномоченными органами государств-членов, Комиссией и хозяйствующими субъектами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 xml:space="preserve">2) за счет средств бюджетов государств-членов и (или) внебюджетных источников (в пределах средств на обеспечение деятельности уполномоченных органов государств-членов) финансируются осуществляемые с участием уполномоченных органов государств-членов мероприятия по разработке актов </w:t>
      </w:r>
      <w:r w:rsidRPr="00AF0AE4">
        <w:rPr>
          <w:rFonts w:ascii="Sylfaen" w:hAnsi="Sylfaen"/>
          <w:sz w:val="24"/>
          <w:szCs w:val="24"/>
          <w:lang w:val="ru-RU" w:bidi="en-US"/>
        </w:rPr>
        <w:lastRenderedPageBreak/>
        <w:t>органов Союза, гармонизации нормативных правовых актов государств-членов и развитию национальных сегментов интегрированной информационной системы Союза в целях реализации и обеспечения функционирования системы информационного обмена между уполномоченными органами государств-членов, Комиссией и хозяйствующими субъектами государств-членов;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3) с привлечением средств внебюджетных источников финансируются создание и развитие инфраструктуры, необходимой для функционирования общих рынков нефти и нефтепродуктов Союза.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/>
        </w:rPr>
        <w:t>2. Научное обеспечение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53. В рамках реализации настоящей Программы требуется ее научное обеспечение в виде проведения аналитических исследований и подготовки научно обоснованных предложений при разработке правил и механизмов формирования общих рынков нефти и нефтепродуктов Союза, включая институциональные, технологические, юридические и экономические механизмы формирования общих рынков нефти и нефтепродуктов Союза, в том числе по следующим направлениям: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bidi="en-US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1) подготовка методических рекомендаций для государств-членов по разработке нормативных правовых актов в сфере регулирования общих рынков нефти и нефтепродуктов Союза;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 w:eastAsia="ru-RU" w:bidi="ru-RU"/>
        </w:rPr>
      </w:pPr>
      <w:r w:rsidRPr="00AF0AE4">
        <w:rPr>
          <w:rFonts w:ascii="Sylfaen" w:hAnsi="Sylfaen"/>
          <w:sz w:val="24"/>
          <w:szCs w:val="24"/>
          <w:lang w:val="ru-RU" w:bidi="en-US"/>
        </w:rPr>
        <w:t>2) разработка методик осуществления мониторинга и анализа общих рынков нефти и нефтепродуктов</w:t>
      </w:r>
      <w:r w:rsidRPr="00AF0AE4">
        <w:rPr>
          <w:rFonts w:ascii="Sylfaen" w:hAnsi="Sylfaen"/>
          <w:sz w:val="24"/>
          <w:szCs w:val="24"/>
          <w:lang w:val="ru-RU"/>
        </w:rPr>
        <w:t xml:space="preserve"> Союза.</w:t>
      </w:r>
    </w:p>
    <w:p w:rsidR="00B74BD5" w:rsidRDefault="00B74BD5" w:rsidP="00B74BD5">
      <w:pPr>
        <w:widowControl/>
        <w:sectPr w:rsidR="00B74BD5">
          <w:pgSz w:w="11909" w:h="16840"/>
          <w:pgMar w:top="1418" w:right="1418" w:bottom="1418" w:left="1418" w:header="0" w:footer="6" w:gutter="0"/>
          <w:cols w:space="720"/>
        </w:sectPr>
      </w:pP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lastRenderedPageBreak/>
        <w:t>УТВЕРЖДЕН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Решением Высшего Евразийского экономи</w:t>
      </w:r>
      <w:r w:rsidRPr="00AF0AE4">
        <w:rPr>
          <w:rFonts w:ascii="Sylfaen" w:hAnsi="Sylfaen"/>
          <w:sz w:val="24"/>
          <w:szCs w:val="24"/>
          <w:lang w:val="ru-RU"/>
        </w:rPr>
        <w:lastRenderedPageBreak/>
        <w:t>ческого совета</w:t>
      </w:r>
    </w:p>
    <w:p w:rsidR="00B74BD5" w:rsidRPr="00AF0AE4" w:rsidRDefault="00B74BD5" w:rsidP="00B74BD5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от</w:t>
      </w:r>
      <w:r w:rsidRPr="00AF0AE4">
        <w:rPr>
          <w:rFonts w:ascii="Sylfaen" w:hAnsi="Sylfaen"/>
          <w:sz w:val="24"/>
          <w:szCs w:val="24"/>
          <w:lang w:val="ru-RU" w:bidi="en-US"/>
        </w:rPr>
        <w:t xml:space="preserve">           </w:t>
      </w:r>
      <w:r w:rsidRPr="00AF0AE4">
        <w:rPr>
          <w:rFonts w:ascii="Sylfaen" w:hAnsi="Sylfaen"/>
          <w:sz w:val="24"/>
          <w:szCs w:val="24"/>
          <w:lang w:val="ru-RU"/>
        </w:rPr>
        <w:t>20 г. №</w:t>
      </w:r>
    </w:p>
    <w:p w:rsidR="00B74BD5" w:rsidRPr="00AF0AE4" w:rsidRDefault="00B74BD5" w:rsidP="00B74BD5">
      <w:pPr>
        <w:pStyle w:val="Heading220"/>
        <w:shd w:val="clear" w:color="auto" w:fill="auto"/>
        <w:spacing w:before="0" w:after="120" w:line="240" w:lineRule="auto"/>
        <w:ind w:left="2268" w:right="2238"/>
        <w:rPr>
          <w:rFonts w:ascii="Sylfaen" w:hAnsi="Sylfaen"/>
          <w:sz w:val="24"/>
          <w:szCs w:val="24"/>
          <w:lang w:val="ru-RU"/>
        </w:rPr>
      </w:pPr>
      <w:r>
        <w:rPr>
          <w:rStyle w:val="Heading22Spacing2pt"/>
          <w:rFonts w:ascii="Sylfaen" w:hAnsi="Sylfaen"/>
          <w:sz w:val="24"/>
          <w:szCs w:val="24"/>
        </w:rPr>
        <w:t>ПЛАН</w:t>
      </w:r>
    </w:p>
    <w:p w:rsidR="00B74BD5" w:rsidRPr="00AF0AE4" w:rsidRDefault="00B74BD5" w:rsidP="00B74BD5">
      <w:pPr>
        <w:pStyle w:val="Bodytext40"/>
        <w:shd w:val="clear" w:color="auto" w:fill="auto"/>
        <w:spacing w:line="240" w:lineRule="auto"/>
        <w:ind w:left="2268" w:right="2238"/>
        <w:rPr>
          <w:rFonts w:ascii="Sylfaen" w:hAnsi="Sylfaen"/>
          <w:sz w:val="24"/>
          <w:szCs w:val="24"/>
          <w:lang w:val="ru-RU"/>
        </w:rPr>
      </w:pPr>
      <w:r w:rsidRPr="00AF0AE4">
        <w:rPr>
          <w:rFonts w:ascii="Sylfaen" w:hAnsi="Sylfaen"/>
          <w:sz w:val="24"/>
          <w:szCs w:val="24"/>
          <w:lang w:val="ru-RU"/>
        </w:rPr>
        <w:t>мероприятий по формированию общих рынков нефти и нефтепродуктов Евразийского экономического союза</w:t>
      </w:r>
    </w:p>
    <w:tbl>
      <w:tblPr>
        <w:tblOverlap w:val="never"/>
        <w:tblW w:w="14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7"/>
        <w:gridCol w:w="1948"/>
        <w:gridCol w:w="2145"/>
        <w:gridCol w:w="2172"/>
        <w:gridCol w:w="2727"/>
        <w:gridCol w:w="12"/>
      </w:tblGrid>
      <w:tr w:rsidR="00B74BD5" w:rsidTr="00B74BD5">
        <w:trPr>
          <w:gridAfter w:val="1"/>
          <w:wAfter w:w="12" w:type="dxa"/>
        </w:trPr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Срок</w:t>
            </w:r>
            <w:r>
              <w:rPr>
                <w:rStyle w:val="Bodytext211pt"/>
                <w:rFonts w:eastAsia="Sylfae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реализации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Ожидаемый</w:t>
            </w:r>
            <w:r>
              <w:rPr>
                <w:rStyle w:val="Bodytext211pt"/>
                <w:rFonts w:eastAsia="Sylfae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результат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Ответственный</w:t>
            </w:r>
            <w:r>
              <w:rPr>
                <w:rStyle w:val="Bodytext211pt"/>
                <w:rFonts w:eastAsia="Sylfae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исполнитель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Соисполнители</w:t>
            </w:r>
          </w:p>
        </w:tc>
      </w:tr>
      <w:tr w:rsidR="00B74BD5" w:rsidTr="00B74BD5">
        <w:trPr>
          <w:gridAfter w:val="1"/>
          <w:wAfter w:w="12" w:type="dxa"/>
        </w:trPr>
        <w:tc>
          <w:tcPr>
            <w:tcW w:w="141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I. Разработка актов, регулирующих общие рынки нефти и нефтепродуктов Евразийского экономического союза (далее - Союз)</w:t>
            </w:r>
          </w:p>
        </w:tc>
      </w:tr>
      <w:tr w:rsidR="00B74BD5" w:rsidTr="00B74BD5">
        <w:trPr>
          <w:gridAfter w:val="1"/>
          <w:wAfter w:w="12" w:type="dxa"/>
        </w:trPr>
        <w:tc>
          <w:tcPr>
            <w:tcW w:w="5144" w:type="dxa"/>
            <w:gridSpan w:val="2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1. Принятие документов, регламентирующих информационное взаимодействие в рамках информационного обмена:</w:t>
            </w:r>
          </w:p>
        </w:tc>
        <w:tc>
          <w:tcPr>
            <w:tcW w:w="1947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147" w:type="dxa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акты Евразийской экономической комиссии (далее - Комиссия)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29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 - члены Союза (далее - государства-члены)</w:t>
            </w:r>
          </w:p>
        </w:tc>
      </w:tr>
      <w:tr w:rsidR="00B74BD5" w:rsidTr="00B74BD5">
        <w:trPr>
          <w:gridAfter w:val="1"/>
          <w:wAfter w:w="12" w:type="dxa"/>
        </w:trPr>
        <w:tc>
          <w:tcPr>
            <w:tcW w:w="5144" w:type="dxa"/>
            <w:gridSpan w:val="2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72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по перечню информации, предоставляемой в процессе взаимодействия уполномоченных органов государств-членов, Комиссии и хозяйствующих субъектов государств- членов в электронной форме, определенному в соответствии с Договором о Евразийском экономическом союзе от 29 мая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2019 год</w:t>
            </w:r>
          </w:p>
        </w:tc>
        <w:tc>
          <w:tcPr>
            <w:tcW w:w="2147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173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729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</w:tr>
      <w:tr w:rsidR="00B74BD5" w:rsidTr="00B74BD5">
        <w:trPr>
          <w:gridAfter w:val="1"/>
          <w:wAfter w:w="12" w:type="dxa"/>
        </w:trPr>
        <w:tc>
          <w:tcPr>
            <w:tcW w:w="5135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72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 xml:space="preserve">2014 года (далее - Договор) и международными договорами в рамках </w:t>
            </w:r>
            <w:r>
              <w:rPr>
                <w:rStyle w:val="Bodytext211pt"/>
                <w:rFonts w:eastAsia="Sylfaen"/>
                <w:sz w:val="24"/>
                <w:szCs w:val="24"/>
              </w:rPr>
              <w:lastRenderedPageBreak/>
              <w:t>Союза</w:t>
            </w:r>
          </w:p>
        </w:tc>
        <w:tc>
          <w:tcPr>
            <w:tcW w:w="1956" w:type="dxa"/>
            <w:gridSpan w:val="2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147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173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729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</w:tr>
      <w:tr w:rsidR="00B74BD5" w:rsidTr="00B74BD5">
        <w:trPr>
          <w:gridAfter w:val="1"/>
          <w:wAfter w:w="12" w:type="dxa"/>
        </w:trPr>
        <w:tc>
          <w:tcPr>
            <w:tcW w:w="5135" w:type="dxa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72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по перечню информации, предоставляемой в процессе взаимодействия уполномоченных органов государств-членов. Комиссии и хозяйствующих субъектов государств- членов в электронной форме, определяемому в соответствии с международным договором о формировании общих рынков нефти и нефтепродуктов Союза</w:t>
            </w:r>
          </w:p>
        </w:tc>
        <w:tc>
          <w:tcPr>
            <w:tcW w:w="1956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2024 год</w:t>
            </w:r>
          </w:p>
        </w:tc>
        <w:tc>
          <w:tcPr>
            <w:tcW w:w="2147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173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729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</w:tr>
      <w:tr w:rsidR="00B74BD5" w:rsidTr="00B74BD5">
        <w:trPr>
          <w:gridAfter w:val="1"/>
          <w:wAfter w:w="12" w:type="dxa"/>
        </w:trPr>
        <w:tc>
          <w:tcPr>
            <w:tcW w:w="5135" w:type="dxa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2. Разработка международного договора о формировании общих рынков нефти и нефтепродуктов Союза и направление его на внутригосударственное согласование</w:t>
            </w:r>
          </w:p>
        </w:tc>
        <w:tc>
          <w:tcPr>
            <w:tcW w:w="1956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2021 год</w:t>
            </w:r>
          </w:p>
        </w:tc>
        <w:tc>
          <w:tcPr>
            <w:tcW w:w="21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акт Комиссии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29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rPr>
          <w:gridAfter w:val="1"/>
          <w:wAfter w:w="12" w:type="dxa"/>
        </w:trPr>
        <w:tc>
          <w:tcPr>
            <w:tcW w:w="5135" w:type="dxa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 w:right="153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3. Принятие решения о переходе ко второму этапу формирования общих рынков нефти и нефтепродуктов Союза</w:t>
            </w:r>
          </w:p>
        </w:tc>
        <w:tc>
          <w:tcPr>
            <w:tcW w:w="1956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2021 год</w:t>
            </w:r>
          </w:p>
        </w:tc>
        <w:tc>
          <w:tcPr>
            <w:tcW w:w="2147" w:type="dxa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29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rPr>
          <w:gridAfter w:val="1"/>
          <w:wAfter w:w="12" w:type="dxa"/>
        </w:trPr>
        <w:tc>
          <w:tcPr>
            <w:tcW w:w="5135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4. Разработка единых правил доступа к системам транспортировки нефти и нефтепродуктов</w:t>
            </w:r>
          </w:p>
        </w:tc>
        <w:tc>
          <w:tcPr>
            <w:tcW w:w="1956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2021 год</w:t>
            </w:r>
          </w:p>
        </w:tc>
        <w:tc>
          <w:tcPr>
            <w:tcW w:w="2147" w:type="dxa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единые правила доступа к системам транспортировки нефти и</w:t>
            </w:r>
            <w:r w:rsidRPr="00AF0AE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нефтепродуктов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29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5. Разработка правил торговли нефтью и нефтепродуктами на общих рынках нефти и нефтепродуктов Союза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2023 год</w:t>
            </w:r>
          </w:p>
        </w:tc>
        <w:tc>
          <w:tcPr>
            <w:tcW w:w="2147" w:type="dxa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правила торговли нефтью и нефтепродуктами на общих рынках нефти и</w:t>
            </w:r>
            <w:r w:rsidRPr="00AF0AE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нефтепродуктов</w:t>
            </w:r>
            <w:r w:rsidRPr="00AF0AE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Союза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Республика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Казахстан</w:t>
            </w: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6. Разработка правил проведения биржевых торгов нефтью и нефтепродуктами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2023 год</w:t>
            </w:r>
          </w:p>
        </w:tc>
        <w:tc>
          <w:tcPr>
            <w:tcW w:w="2147" w:type="dxa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правила проведения биржевых торгов нефтью и нефтепродуктами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Российская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Федерация</w:t>
            </w: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7. Принятие решения о переходе к третьему этапу формирования общих рынков нефти и нефтепродуктов Союза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2024 год</w:t>
            </w:r>
          </w:p>
        </w:tc>
        <w:tc>
          <w:tcPr>
            <w:tcW w:w="2147" w:type="dxa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8. Принятие международного договора о формировании общих рынков нефти и нефтепродуктов Союза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2024 год</w:t>
            </w:r>
          </w:p>
        </w:tc>
        <w:tc>
          <w:tcPr>
            <w:tcW w:w="2147" w:type="dxa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международный договор о формировании общих рынков нефти и</w:t>
            </w:r>
            <w:r w:rsidRPr="00AF0AE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нефтепродуктов</w:t>
            </w:r>
            <w:r w:rsidRPr="00AF0AE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lastRenderedPageBreak/>
              <w:t>Союза</w:t>
            </w:r>
          </w:p>
        </w:tc>
        <w:tc>
          <w:tcPr>
            <w:tcW w:w="2173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</w:tr>
      <w:tr w:rsidR="00B74BD5" w:rsidTr="00B74BD5">
        <w:tc>
          <w:tcPr>
            <w:tcW w:w="14152" w:type="dxa"/>
            <w:gridSpan w:val="7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II. Организация системы информационного обмена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9. Организация обмена технологической информацией между операторами систем транспортировки нефти и нефтепродуктов государств-членов для обеспечения бесперебойной межгосударственной транспортировки нефти и нефтепродуктов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2019 год</w:t>
            </w:r>
          </w:p>
        </w:tc>
        <w:tc>
          <w:tcPr>
            <w:tcW w:w="21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обмен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технологической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информацией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Российская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Федерация</w:t>
            </w: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10. Организация системы информационного обмена путем реализации средствами интегрированной информационной системы Союза общих процессов для обеспечения информационного взаимодействия в рамках общих рынков нефти и нефтепродуктов Союза в соответствии с перечнем информации, предоставляемой в процессе взаимодействия уполномоченных органов государств-членов, Комиссии и хозяйствующих субъектов государств- членов в электронной форме, определяемым в соответствии с Договором и международными договорами в рамках Союза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2024 год</w:t>
            </w:r>
          </w:p>
        </w:tc>
        <w:tc>
          <w:tcPr>
            <w:tcW w:w="21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система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информационного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="Sylfaen"/>
                <w:sz w:val="24"/>
                <w:szCs w:val="24"/>
              </w:rPr>
              <w:t>обмена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c>
          <w:tcPr>
            <w:tcW w:w="14152" w:type="dxa"/>
            <w:gridSpan w:val="7"/>
            <w:shd w:val="clear" w:color="auto" w:fill="FFFFFF"/>
            <w:vAlign w:val="center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III. Гармонизация законодательства государств-членов в нефтяной сфере</w:t>
            </w:r>
          </w:p>
        </w:tc>
      </w:tr>
      <w:tr w:rsidR="00B74BD5" w:rsidTr="00B74BD5">
        <w:tc>
          <w:tcPr>
            <w:tcW w:w="5144" w:type="dxa"/>
            <w:gridSpan w:val="2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11. Проведение сравнительного анализа законодательства государств-членов и международных договоров между государствами-членами в нефтяной сфере</w:t>
            </w:r>
          </w:p>
        </w:tc>
        <w:tc>
          <w:tcPr>
            <w:tcW w:w="19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2019 год</w:t>
            </w:r>
          </w:p>
        </w:tc>
        <w:tc>
          <w:tcPr>
            <w:tcW w:w="2147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сводный отчет</w:t>
            </w:r>
          </w:p>
        </w:tc>
        <w:tc>
          <w:tcPr>
            <w:tcW w:w="2173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4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c>
          <w:tcPr>
            <w:tcW w:w="5137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12. Разработка и утверждение плана мероприятий («дорожной карты») по гармонизации законодательства государств- членов в нефтяной сфере</w:t>
            </w:r>
          </w:p>
        </w:tc>
        <w:tc>
          <w:tcPr>
            <w:tcW w:w="1951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2020 год</w:t>
            </w:r>
          </w:p>
        </w:tc>
        <w:tc>
          <w:tcPr>
            <w:tcW w:w="2146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74" w:type="dxa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Комиссия</w:t>
            </w:r>
          </w:p>
        </w:tc>
        <w:tc>
          <w:tcPr>
            <w:tcW w:w="2740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  <w:tr w:rsidR="00B74BD5" w:rsidTr="00B74BD5">
        <w:tc>
          <w:tcPr>
            <w:tcW w:w="5137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13. Гармонизация законодательства государств-членов в нефтяной сфере</w:t>
            </w:r>
          </w:p>
        </w:tc>
        <w:tc>
          <w:tcPr>
            <w:tcW w:w="1951" w:type="dxa"/>
            <w:gridSpan w:val="2"/>
            <w:shd w:val="clear" w:color="auto" w:fill="FFFFFF"/>
            <w:vAlign w:val="bottom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в соответствии с актом Высшего Евразийского экономического совета</w:t>
            </w:r>
          </w:p>
        </w:tc>
        <w:tc>
          <w:tcPr>
            <w:tcW w:w="2146" w:type="dxa"/>
            <w:shd w:val="clear" w:color="auto" w:fill="FFFFFF"/>
            <w:hideMark/>
          </w:tcPr>
          <w:p w:rsidR="00B74BD5" w:rsidRPr="00AF0AE4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нормативные правовые акты государств-членов</w:t>
            </w:r>
          </w:p>
        </w:tc>
        <w:tc>
          <w:tcPr>
            <w:tcW w:w="2174" w:type="dxa"/>
            <w:shd w:val="clear" w:color="auto" w:fill="FFFFFF"/>
          </w:tcPr>
          <w:p w:rsidR="00B74BD5" w:rsidRDefault="00B74BD5">
            <w:pPr>
              <w:spacing w:after="120"/>
            </w:pPr>
          </w:p>
        </w:tc>
        <w:tc>
          <w:tcPr>
            <w:tcW w:w="2740" w:type="dxa"/>
            <w:gridSpan w:val="2"/>
            <w:shd w:val="clear" w:color="auto" w:fill="FFFFFF"/>
            <w:hideMark/>
          </w:tcPr>
          <w:p w:rsidR="00B74BD5" w:rsidRDefault="00B74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eastAsia="Sylfaen"/>
                <w:sz w:val="24"/>
                <w:szCs w:val="24"/>
              </w:rPr>
              <w:t>государства-члены</w:t>
            </w:r>
          </w:p>
        </w:tc>
      </w:tr>
    </w:tbl>
    <w:p w:rsidR="00E520AD" w:rsidRPr="006271B2" w:rsidRDefault="00E520AD" w:rsidP="006271B2"/>
    <w:sectPr w:rsidR="00E520AD" w:rsidRPr="006271B2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6FB" w:rsidRDefault="008E26FB" w:rsidP="00FA0BA4">
      <w:r>
        <w:separator/>
      </w:r>
    </w:p>
  </w:endnote>
  <w:endnote w:type="continuationSeparator" w:id="0">
    <w:p w:rsidR="008E26FB" w:rsidRDefault="008E26FB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6FB" w:rsidRDefault="008E26FB" w:rsidP="00FA0BA4">
      <w:r>
        <w:separator/>
      </w:r>
    </w:p>
  </w:footnote>
  <w:footnote w:type="continuationSeparator" w:id="0">
    <w:p w:rsidR="008E26FB" w:rsidRDefault="008E26FB" w:rsidP="00FA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312367"/>
    <w:rsid w:val="006271B2"/>
    <w:rsid w:val="008E26FB"/>
    <w:rsid w:val="00AF0AE4"/>
    <w:rsid w:val="00B74BD5"/>
    <w:rsid w:val="00C3661A"/>
    <w:rsid w:val="00DE60AE"/>
    <w:rsid w:val="00E520AD"/>
    <w:rsid w:val="00FA0BA4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B282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  <w:style w:type="character" w:customStyle="1" w:styleId="Heading22">
    <w:name w:val="Heading #2 (2)_"/>
    <w:basedOn w:val="DefaultParagraphFont"/>
    <w:link w:val="Heading220"/>
    <w:locked/>
    <w:rsid w:val="00B74B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B74BD5"/>
    <w:pPr>
      <w:shd w:val="clear" w:color="auto" w:fill="FFFFFF"/>
      <w:spacing w:before="66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Heading22Spacing2pt">
    <w:name w:val="Heading #2 (2) + Spacing 2 pt"/>
    <w:basedOn w:val="Heading22"/>
    <w:rsid w:val="00B74BD5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B74BD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5602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4</cp:revision>
  <dcterms:created xsi:type="dcterms:W3CDTF">2019-07-08T07:30:00Z</dcterms:created>
  <dcterms:modified xsi:type="dcterms:W3CDTF">2019-07-08T07:41:00Z</dcterms:modified>
</cp:coreProperties>
</file>