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53" w:rsidRPr="00894645" w:rsidRDefault="00894645" w:rsidP="00894645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94645">
        <w:rPr>
          <w:rFonts w:ascii="Sylfaen" w:hAnsi="Sylfaen"/>
          <w:sz w:val="24"/>
          <w:szCs w:val="24"/>
        </w:rPr>
        <w:t>УТВЕРЖДЕНА</w:t>
      </w:r>
    </w:p>
    <w:p w:rsidR="00894645" w:rsidRDefault="00894645" w:rsidP="00894645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Решением Высшего Евр</w:t>
      </w:r>
      <w:r>
        <w:rPr>
          <w:rFonts w:ascii="Sylfaen" w:hAnsi="Sylfaen"/>
          <w:sz w:val="24"/>
          <w:szCs w:val="24"/>
        </w:rPr>
        <w:t>азийского экономического совета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от</w:t>
      </w:r>
      <w:r>
        <w:rPr>
          <w:rFonts w:ascii="Sylfaen" w:hAnsi="Sylfaen"/>
          <w:sz w:val="24"/>
          <w:szCs w:val="24"/>
        </w:rPr>
        <w:t xml:space="preserve">                      </w:t>
      </w:r>
      <w:r w:rsidRPr="00894645">
        <w:rPr>
          <w:rFonts w:ascii="Sylfaen" w:hAnsi="Sylfaen"/>
          <w:sz w:val="24"/>
          <w:szCs w:val="24"/>
        </w:rPr>
        <w:t xml:space="preserve"> 20 г</w:t>
      </w:r>
      <w:r>
        <w:rPr>
          <w:rFonts w:ascii="Sylfaen" w:hAnsi="Sylfaen"/>
          <w:sz w:val="24"/>
          <w:szCs w:val="24"/>
        </w:rPr>
        <w:t xml:space="preserve">  </w:t>
      </w:r>
      <w:r w:rsidRPr="00894645">
        <w:rPr>
          <w:rFonts w:ascii="Sylfaen" w:hAnsi="Sylfaen"/>
          <w:sz w:val="24"/>
          <w:szCs w:val="24"/>
        </w:rPr>
        <w:t>. №</w:t>
      </w:r>
      <w:bookmarkStart w:id="1" w:name="bookmark4"/>
    </w:p>
    <w:p w:rsid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Style w:val="Heading22Spacing2pt"/>
          <w:rFonts w:ascii="Sylfaen" w:hAnsi="Sylfaen"/>
          <w:spacing w:val="0"/>
          <w:sz w:val="24"/>
          <w:szCs w:val="24"/>
        </w:rPr>
        <w:t>ПРОГРАММА</w:t>
      </w:r>
      <w:bookmarkEnd w:id="1"/>
    </w:p>
    <w:p w:rsidR="007F5753" w:rsidRPr="00894645" w:rsidRDefault="00894645" w:rsidP="00894645">
      <w:pPr>
        <w:pStyle w:val="Bodytext8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формирования общих рынков нефти и нефтепродуктов Евразийского экономического союза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I. Общие положения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1. Основание разработки Программы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1. Настоящая Программа разработана в соответствии со статьей 84 Договора о Евразийском экономическом союзе от 29 мая 2014 года (далее - Договор) с учетом положений статьи 79 Договора, Протокола о порядке организации, управления, функционирования и развития общих рынков нефти и нефтепродуктов (приложение № 23 к Договору) и Концепции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 от 31 мая 2016 г. № 8 (далее - Концепция).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2. Определения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2. Для целей настоящей Программы используются понятия, которые означают следующее: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«биржевые торги нефтью и нефтепродуктами»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торги нефтью и нефтепродуктами, проводимые в соответствии с правилами проведения биржевых торгов нефтью и нефтепродуктами и направленные на совершение сделок с нефтью и нефтепродуктами на основе заявок, поданных в рамках единого биржевого пространства в торговую систему оператора биржевых торгов;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«доступ к системам транспортировки нефти и нефтепродуктов»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предоставление права использования систем транспортировки нефти и нефтепродуктов, управляемых операторами систем транспортировки нефти и нефтепродуктов, для транспортировки нефти и нефтепродуктов в рамках общих рынков нефти и нефтепродуктов Евразийского экономического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«единое биржевое пространство» - совокупность информационных и технологических отношений между операторами биржевых торгов и участниками общих рынков нефти и нефтепродуктов Евразийского экономического союза, связанных с совершением биржевых сделок с нефтью и нефтепродуктами;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«межгосударственная транспортировка нефти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 xml:space="preserve">и нефтепродуктов» - перемещение нефти и нефтепродуктов любым способом от пункта приема, находящегося под юрисдикцией одного </w:t>
      </w:r>
      <w:r w:rsidR="006A581D">
        <w:rPr>
          <w:rFonts w:ascii="Sylfaen" w:hAnsi="Sylfaen"/>
          <w:sz w:val="24"/>
          <w:szCs w:val="24"/>
        </w:rPr>
        <w:t>государства-</w:t>
      </w:r>
      <w:r w:rsidRPr="00894645">
        <w:rPr>
          <w:rFonts w:ascii="Sylfaen" w:hAnsi="Sylfaen"/>
          <w:sz w:val="24"/>
          <w:szCs w:val="24"/>
        </w:rPr>
        <w:t xml:space="preserve">члена Евразийского экономического союза, до пункта сдачи (или через него), находящегося под юрисдикцией другого </w:t>
      </w:r>
      <w:r w:rsidR="006A581D">
        <w:rPr>
          <w:rFonts w:ascii="Sylfaen" w:hAnsi="Sylfaen"/>
          <w:sz w:val="24"/>
          <w:szCs w:val="24"/>
        </w:rPr>
        <w:t>государства-</w:t>
      </w:r>
      <w:r w:rsidRPr="00894645">
        <w:rPr>
          <w:rFonts w:ascii="Sylfaen" w:hAnsi="Sylfaen"/>
          <w:sz w:val="24"/>
          <w:szCs w:val="24"/>
        </w:rPr>
        <w:t xml:space="preserve">члена Евразийского экономического союза, либо до пункта сдачи (или через него), не находящегося под юрисдикцией </w:t>
      </w:r>
      <w:r w:rsidR="006A581D">
        <w:rPr>
          <w:rFonts w:ascii="Sylfaen" w:hAnsi="Sylfaen"/>
          <w:sz w:val="24"/>
          <w:szCs w:val="24"/>
        </w:rPr>
        <w:t>государства-</w:t>
      </w:r>
      <w:r w:rsidRPr="00894645">
        <w:rPr>
          <w:rFonts w:ascii="Sylfaen" w:hAnsi="Sylfaen"/>
          <w:sz w:val="24"/>
          <w:szCs w:val="24"/>
        </w:rPr>
        <w:t xml:space="preserve">члена Евразийского экономического союза, при условии, что такое перемещение осуществляется по территориям не менее 2 </w:t>
      </w:r>
      <w:r w:rsidR="00CA4197">
        <w:rPr>
          <w:rFonts w:ascii="Sylfaen" w:hAnsi="Sylfaen"/>
          <w:sz w:val="24"/>
          <w:szCs w:val="24"/>
        </w:rPr>
        <w:t>государств-</w:t>
      </w:r>
      <w:r w:rsidRPr="00894645">
        <w:rPr>
          <w:rFonts w:ascii="Sylfaen" w:hAnsi="Sylfaen"/>
          <w:sz w:val="24"/>
          <w:szCs w:val="24"/>
        </w:rPr>
        <w:t>членов Евразийского экономического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«пропускная способность» ֊ максимально возможное количество нефти и нефтепродуктов, которое может транспортироваться по системе трубопроводов или по ее участку в единицу времени с учетом физических свойств нефти и (или) нефтепродуктов, соответствующих технических норм, свойств и состояния технологического оборудования такой системы или ее участка;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«сбыт нефти и нефтепродуктов»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передача на возмездной основе (в том числе обмен товарами) права собственности на нефть и нефтепродукты;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«технические возможности транспортировки нефти и нефтепродуктов»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максимально возможное количество нефти и нефтепродуктов, которое может транспортироваться по системе транспортировки нефти и нефтепродуктов от пункта приема до пункта сдачи за определенный период времени при условии соблюдения технологических режимов с учетом пропускной способности каждого технологического участка системы транспортировки нефти и нефтепродуктов в сутки, физических свойств нефти и (или) нефтепродуктов, а также состояния технологического оборудования такой системы или ее участка;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«торговля нефтью и нефтепродуктами» - предпринимательская деятельность, связанная со сбытом нефти и нефтепродуктов;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«ценовые индикаторы»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цены на нефть и нефтепродукты, рассчитанные на основе цен сделок, совершенных в рамках единого биржевого пространства и (или) на внебиржевых рынках нефти и нефтепродуктов за определенный период времени с использованием методик, утверждаемых </w:t>
      </w:r>
      <w:r w:rsidR="006A581D">
        <w:rPr>
          <w:rFonts w:ascii="Sylfaen" w:hAnsi="Sylfaen"/>
          <w:sz w:val="24"/>
          <w:szCs w:val="24"/>
        </w:rPr>
        <w:t>государствами-</w:t>
      </w:r>
      <w:r w:rsidRPr="00894645">
        <w:rPr>
          <w:rFonts w:ascii="Sylfaen" w:hAnsi="Sylfaen"/>
          <w:sz w:val="24"/>
          <w:szCs w:val="24"/>
        </w:rPr>
        <w:t>членами Евразийского экономического союза.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Иные понятия, используемые в настоящей Программе, применяются в значениях, определенных Договором и Концепцией.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3. Цели и задачи Программы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3. Целями настоящей Программы являются: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1) обеспечение готовности </w:t>
      </w:r>
      <w:r w:rsidR="00CA4197">
        <w:rPr>
          <w:rFonts w:ascii="Sylfaen" w:hAnsi="Sylfaen"/>
          <w:sz w:val="24"/>
          <w:szCs w:val="24"/>
        </w:rPr>
        <w:t>государств-</w:t>
      </w:r>
      <w:r w:rsidRPr="00894645">
        <w:rPr>
          <w:rFonts w:ascii="Sylfaen" w:hAnsi="Sylfaen"/>
          <w:sz w:val="24"/>
          <w:szCs w:val="24"/>
        </w:rPr>
        <w:t xml:space="preserve">членов Евразийского экономического союза (далее соответственно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государства-члены, Союз) к участию субъектов рынков нефти и нефтепродуктов государств-членов в общих рынках нефти и нефтепродуктов Союза, в том числе создание правовых и экономических условий </w:t>
      </w:r>
      <w:r w:rsidRPr="00894645">
        <w:rPr>
          <w:rFonts w:ascii="Sylfaen" w:hAnsi="Sylfaen"/>
          <w:sz w:val="24"/>
          <w:szCs w:val="24"/>
        </w:rPr>
        <w:lastRenderedPageBreak/>
        <w:t>для функционирования общих рынков нефти и нефтепродуктов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обеспечение создания в государствах-членах условий, необходимых для реализации международного договора о формировании общих рынков нефти и нефтепродуктов Союза, вступающего в силу не позднее 1 января 2025 г.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4. Задачами настоящей Программы являются: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создание, развитие и повышение эффективности рыночных механизмов торговли нефтью и нефтепродуктами между участниками общих рынков нефти и нефтепродуктов Союза, в том числе с использованием инструментов рыночного ценообразования, биржевых торгов и обеспечением добросовестной конкуренции;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создание условий для обеспечения недискриминационного доступа участников общих рынков нефти и нефтепродуктов Союза на рынки государств-членов (с учетом интересов экономик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ов), устранение количественных ограничений и вывозных таможенных пошлин (иных пошлин, налогов и сборов, имеющих эквивалентное значение) в торговле нефтью и нефтепродуктами между государствами-членами;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обеспечение гармонизации законодательства государств-членов в нефтяной сфере для формирования общих рынков нефти и нефтепродуктов Союза с учетом международных договоров между государствами-членами;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5) разработка правил функционирования общих рынков нефти и нефтепродуктов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6) обеспечение контроля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7) обеспечение в пределах имеющихся технических возможностей гарантированного осуществления долгосрочной транспортировки нефти и нефтепродуктов по системе транспортировки нефти и нефтепродуктов на территориях государств-членов;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8) обеспечение информационн</w:t>
      </w:r>
      <w:r w:rsidR="006A581D">
        <w:rPr>
          <w:rFonts w:ascii="Sylfaen" w:hAnsi="Sylfaen"/>
          <w:sz w:val="24"/>
          <w:szCs w:val="24"/>
        </w:rPr>
        <w:t>ого обмена между государствами-</w:t>
      </w:r>
      <w:r w:rsidRPr="00894645">
        <w:rPr>
          <w:rFonts w:ascii="Sylfaen" w:hAnsi="Sylfaen"/>
          <w:sz w:val="24"/>
          <w:szCs w:val="24"/>
        </w:rPr>
        <w:t>членами статистической информацией о добыче, транспортировке, поставке, переработке, сбыте и потреблении нефти и нефтепродуктов на территориях государств-членов;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9) 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10) обеспечение соблюдения норм экологической безопасности.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4. Ожидаемые результаты реализации Программы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5. В результате реализации настоящей Программы будут сформированы общие рынки нефти и нефтепродуктов Союза, обеспечен недискриминационный доступ хозяйствующих субъектов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 на общие рынки нефти и нефтепродуктов Союза, устранены механизмы государственного регулирования цен на нефть и нефтепродукты.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6. В рамках общих рынков нефти и нефтепродуктов Союза будут формироваться единое биржевое пространство, прозрачные биржевые и внебиржевые ценовые индикаторы на общих рынках нефти и нефтепродуктов Союза, будет обеспечен недискриминационный доступ хозяйствующих субъектов государств-членов к биржевым торгам нефтью и нефтепродуктами, а также будет определен механизм исполнения сделок (договоров), совершенных в рамках единого биржевого пространства.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7. Развитие общих рынков нефти и нефтепродуктов Союза будет способствовать дальнейшему укреплению международного сотрудничества Союза и государств-членов с участниками мирового рынка энергетических ресурсов, в том числе за счет роста торгового оборота и привлечения иностранных инвестиций.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8. Формирование общих рынков нефти и нефтепродуктов Союза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приведет к дальнейшему экономическому развитию государств-членов, укреплению энергетической безопасности и росту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конкурентоспособности товаров государств-членов на мировом рынке энергетических ресурсов.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  <w:lang w:eastAsia="hy-AM" w:bidi="hy-AM"/>
        </w:rPr>
      </w:pP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II. </w:t>
      </w:r>
      <w:r w:rsidRPr="00894645">
        <w:rPr>
          <w:rFonts w:ascii="Sylfaen" w:hAnsi="Sylfaen"/>
          <w:sz w:val="24"/>
          <w:szCs w:val="24"/>
        </w:rPr>
        <w:t>Система мероприятий Программы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1. Сроки и этапы реализации Программы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9. Реализация мероприятий настоящей Программы осуществляется в соответствии со следующими этапами и сроками: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1) этап I (2018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 xml:space="preserve">2021 годы)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>создание организационной и методической основы формирования общих рынков нефти и нефтепродуктов Союза, гармонизация законодательства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 в соответствии с планом мероприятий («дорожной картой») по гармонизации законодательства государств-членов в нефтяной сфере;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2) этап II (2021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 xml:space="preserve">2024 годы)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>подготовка и согласование уполномоченными органами государств-членов проекта международного договора о формировании общих рынков нефти и нефтепродуктов Союза;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3) этап III (до 1 января 2025 г.)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>вступление в силу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международного договора о формировании общих рынков нефти и нефтепродуктов Союза.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10. Евразийская экономическая комиссия (далее </w:t>
      </w:r>
      <w:r>
        <w:rPr>
          <w:rFonts w:ascii="Sylfaen" w:hAnsi="Sylfaen"/>
          <w:sz w:val="24"/>
          <w:szCs w:val="24"/>
          <w:lang w:val="hy-AM" w:eastAsia="hy-AM" w:bidi="hy-AM"/>
        </w:rPr>
        <w:t>-</w:t>
      </w:r>
      <w:r w:rsidRPr="00894645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894645">
        <w:rPr>
          <w:rFonts w:ascii="Sylfaen" w:hAnsi="Sylfaen"/>
          <w:sz w:val="24"/>
          <w:szCs w:val="24"/>
        </w:rPr>
        <w:t xml:space="preserve">Комиссия) проводит мониторинг выполнения настоящей Программы, по результатам которого ежегодно </w:t>
      </w:r>
      <w:r w:rsidRPr="00894645">
        <w:rPr>
          <w:rFonts w:ascii="Sylfaen" w:hAnsi="Sylfaen"/>
          <w:sz w:val="24"/>
          <w:szCs w:val="24"/>
        </w:rPr>
        <w:lastRenderedPageBreak/>
        <w:t>готовит доклад о ходе формирования общих рынков нефти и нефтепродуктов Союза и предложения о переходе к очередному этапу формирования общих рынков нефти и нефтепродуктов Союза, в том числе предложения о реализации не предусмотренных настоящей Программой мероприятий (включая разработку и принятие актов органов Союза). Указанные предложения направляются в государства-члены для согласования. С учетом согласованных предложений Высший Евразийский экономический совет принимает решение о переходе к очередному этапу формирования общих рынков нефти и нефтепродуктов Союза и определяет содержание этого этапа. Комиссия ежегодно информирует Евразийский межправительственный совет о результатах мониторинга.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2. Разработка актов, регулирующих общие рынки нефти и нефтепродуктов Союза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11. Комиссия и государства-члены разрабатывают акты по вопросам формирования и функционирования общих рынков нефти и нефтепродуктов Союза.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В отношении хозяйствующих субъектов, оказывающих услуги по транспортировке нефти и нефтепродуктов в рамках общих рынков нефти и нефтепродуктов Союза, применяются акты, регулирующие общие рынки нефти и нефтепродуктов Союза, а также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хозяйствующих субъектов, оказывающих услуги по транспортировке нефти и нефтепродуктов в рамках общих рынков нефти и нефтепродуктов Союза.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Разработка правил торговли нефтью и нефтепродуктами на общих рынках нефти и нефтепродуктов Союза, включая правила проведения биржевых торгов нефтью и нефтепродуктами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12. Правила торговли нефтью и нефтепродуктами на общих рынках нефти и нефтепродуктов Союза должны регулировать отношения по купле-продаже (поставке) нефти и нефтепродуктов на общих рынках нефти и нефтепродуктов Союза, в том числе: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отношения между органами государственной власти и хозяйствующими субъектами государств-членов, возникающие при осуществлении торговли нефтью и нефтепродуктами, а также отношения между хозяйствующими субъектами государств-членов, возникающие при осуществлении ими торговой деятельности;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принципы рыночного ценообразования в отношении нефти и нефтепродуктов;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механизмы мониторинга состояния рынка нефти и нефтепродуктов Союза и осуществления биржевых торгов нефтью и нефтепродуктами;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4) правила проведения биржевых торгов нефтью и нефтепродуктами;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5) порядок осуществления перепродажи в третьи страны нефти и нефтепродуктов, приобретенных в рамках общих рынков нефти и нефтепродуктов Союза.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13. Составной частью правил торговли нефтью и нефтепродуктами на общих рынках нефти и нефтепродуктов Союза являются правила проведения биржевых торгов нефтью и нефтепродуктами, в которых в том числе определяются: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требования для получения лицензии оператора биржевых торгов и включения в состав единого биржевого пространства;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принципы безопасности, надежности систем расчетов и функциональной совместимости операторов биржевых торгов;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механизмы взаиморасчетов и клиринга в рамках единого биржевого пространства;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необходимость регистрации договоров на внебиржевом рынке;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5) принципы участия хозяйствую</w:t>
      </w:r>
      <w:r w:rsidR="006A581D">
        <w:rPr>
          <w:rFonts w:ascii="Sylfaen" w:hAnsi="Sylfaen"/>
          <w:sz w:val="24"/>
          <w:szCs w:val="24"/>
        </w:rPr>
        <w:t>щих субъектов одних государств-</w:t>
      </w:r>
      <w:r w:rsidRPr="00894645">
        <w:rPr>
          <w:rFonts w:ascii="Sylfaen" w:hAnsi="Sylfaen"/>
          <w:sz w:val="24"/>
          <w:szCs w:val="24"/>
        </w:rPr>
        <w:t>членов на биржевых площадках других государств-членов;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6) принципы формирования ценовых индикаторов (биржевых и внебиржевых) на общих рынках нефти и нефтепродуктов Союза и их взаимного учета в рамках единого биржевого пространства.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14. Порядок принятия правил торговли нефтью и нефтепродуктами на общих рынках нефти и нефтепродуктов Союза определяется международным договором о формировании общих рынков нефти и нефтепродуктов Союза.</w:t>
      </w:r>
    </w:p>
    <w:p w:rsid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Унификация норм и стандартов на нефть, нефтепродукты и системы их транспортировки</w:t>
      </w: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15. Унификация норм, стандартов на нефть и нефтепродукты и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нормативно-технических документов, регламентирующих</w:t>
      </w:r>
      <w:r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функционирование систем транспортировки нефти и нефтепродуктов, а также выработка рекомендаций по обеспечению точности измерений количества и контроля качества нефти и нефтепродуктов с учетом мировых практик, по реализации метрологического обеспечения измерений в рамках национальных систем стандартизации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 и по гармонизации метрологических требований к измерениям количества и параметров качества нефти и нефтепродуктов осуществляются в соответствии с разделом X Договора.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Разработка единых правил доступа к системам транспортировки нефти и нефтепродуктов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16. Разработка единых правил доступа к системам транспортировки нефти и </w:t>
      </w:r>
      <w:r w:rsidRPr="00894645">
        <w:rPr>
          <w:rFonts w:ascii="Sylfaen" w:hAnsi="Sylfaen"/>
          <w:sz w:val="24"/>
          <w:szCs w:val="24"/>
        </w:rPr>
        <w:lastRenderedPageBreak/>
        <w:t xml:space="preserve">нефтепродуктов (далее </w:t>
      </w:r>
      <w:r>
        <w:rPr>
          <w:rFonts w:ascii="Sylfaen" w:hAnsi="Sylfaen"/>
          <w:sz w:val="24"/>
          <w:szCs w:val="24"/>
        </w:rPr>
        <w:t>-</w:t>
      </w:r>
      <w:r w:rsidRPr="00894645">
        <w:rPr>
          <w:rFonts w:ascii="Sylfaen" w:hAnsi="Sylfaen"/>
          <w:sz w:val="24"/>
          <w:szCs w:val="24"/>
        </w:rPr>
        <w:t xml:space="preserve"> единые правила) осуществляется в соответствии с принципами, указанными в статье 84 Договора и разделах III и IV Концепции.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17. Единые правила включаются в международный договор о формировании общих рынков нефти и нефтепродуктов Союза в качестве приложения.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18. Регулирование вопросов доступа к услугам железнодорожного транспорта по перевозке нефти и нефтепродуктов осуществляется в соответствии с разделами XIX и XXI Договора, а также с Протоколом о единых принципах и правилах регулирования деятельности субъектов естественных монополий (приложение № 20 к Договору) и Протоколом о скоординированной (согласованной) транспортной политике (приложение № 24 к Договору).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19. Единые правила регулируют вопросы транспортировки нефти и нефтепродуктов по системам транспортировки нефти и нефтепродуктов, в том числе взаимоотношения операторов систем транспортировки нефти и нефтепродуктов государств-членов и участников общих рынков нефти и нефтепродуктов Союза, определяют принципы и условия доступа к услугам в сфере транспортировки нефти и нефтепродуктов в рамках общих рынков нефти и нефтепродуктов Союза с учетом принципа приоритетного обеспечения потребностей государств-членов в нефти и нефтепродуктах и особенностей, установленных разделом XIX Договора и Протоколом о единых принципах и правилах регулирования деятельности субъектов естественных монополий (приложение № 20 к Договору), и включают в себя: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порядок предоставления доступа к услугам по транспортировке нефти и нефтепродуктов в рамках общих рынков нефти и нефтепродуктов Союза, в том числе в случае отсутствия необходимого объема мощностей для удовлетворения всех поступивших заявок на транспортировку нефти и нефтепродуктов, а также с учетом технических возможностей систем транспортировки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порядок и сроки подачи (рассмотрения) заявок на транспортировку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порядок и сроки заключения, существенные условия договоров на оказание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порядок и принципы определения технических возможностей транспортировки нефти и нефтепродуктов между хозяйствующими субъектами государств-членов с учетом заявок на осуществление транспортировки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5) порядок осуществления транспортировки и транзита нефти и нефтепродуктов по территориям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6) права и обязанности потребителей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7) права и обязанности операторов систем транспортировки нефти и </w:t>
      </w:r>
      <w:r w:rsidRPr="00894645">
        <w:rPr>
          <w:rFonts w:ascii="Sylfaen" w:hAnsi="Sylfaen"/>
          <w:sz w:val="24"/>
          <w:szCs w:val="24"/>
        </w:rPr>
        <w:lastRenderedPageBreak/>
        <w:t>нефтепродуктов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8) порядок опубликования информации (стандарты раскрытия информации) о тарифах (ценах) на услуги по транспортировке нефти и нефтепродуктов в рамках общих рынков нефти и нефтепродуктов Союза, методик тарифообразования (ценообразования) в отношении указанных услуг;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9) порядок разрешения споров по вопросам предоставления доступа к системам транспортировки нефти и нефтепродуктов и оказания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10) общие принципы и методы тарифообразования, а также общие принципы ценообразования в отношении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11) иные положения, необходимые для обеспечения создания и функционирования общих рынков нефти и нефтепродуктов Союза.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20. Объемы транспортировки нефти и нефтепродуктов определяются гражданско-правовыми договорами хозяйствующих субъектов государств-членов в соответствии с законодательством этих государств.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21. Государствами-членами обеспечиваются: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опубликование информации (стандартов раскрытия информации) о тарифах (ценах) на услуги по транспортировке нефти и нефтепродуктов в рамках общих рынков нефти и нефтепродуктов Союза, методик тарифообразования (ценообразования) в отношении указанных услуг;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гармонизация законодательства государств-членов в нефтяной сфере с учетом международных договоров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контроль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Заключение международного договора о формировании общих рынков нефти и нефтепродуктов Союза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22. Заключение международного договора о формировании общих рынков нефти и нефтепродуктов Союза осуществляется во исполнение положений статей 84 и 104 Договора и раздела XIV Концепции.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23. Международный договор о формировании общих рынков нефти и нефтепродуктов Союза должен включать в себя: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1) принципы формирования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правила торговли нефтью и нефтепродуктами на общих рынках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единые правила;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порядок раскрытия информации о технических возможностях транспортировки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5) принципы недискриминационного и прозрачного распределения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технических возможностей транспортировки нефти и нефтепродуктов между участниками общих рынков нефти и нефтепродуктов Союза, а также устранения административных барьеров в части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технологической доступности систем транспортировки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6) порядок информационного обмена между государствами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ами данными о потреблении нефти и нефтепродуктов, добыче, транспортировке, поставке, переработке и сбыте нефти и нефтепродуктов на территориях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7) положения об обеспечении транзита и (или) межгосударственной транспортировки нефти и нефтепродуктов для внутреннего потребления государствами-членами и (или) для экспорта с территорий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8) положения о компетенции и полномочиях органов Союза и уполномоченных органов государств-членов по формированию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9) общие требования к обеспечению экологической безопасности на общих рынках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10) иные положения, необходимые для обеспечения создания и функционирования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Разработка механизмов мониторинга функционирования общих рынков нефти и нефтепродуктов Союза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24. Механизмы мониторинга функционирования общих рынков нефти и нефтепродуктов Союза включают в себя в том числе: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разработку и согласование индикативных (прогнозных) балансов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разработку форм и порядка осуществления мониторинга функционирования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Обеспечение экологической безопасности в нефтяной сфере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25. Государства-члены ориентируются на использование лучшей мировой </w:t>
      </w:r>
      <w:r w:rsidRPr="00894645">
        <w:rPr>
          <w:rFonts w:ascii="Sylfaen" w:hAnsi="Sylfaen"/>
          <w:sz w:val="24"/>
          <w:szCs w:val="24"/>
        </w:rPr>
        <w:lastRenderedPageBreak/>
        <w:t>практики в сфере экологической безопасности нефтяной сферы, защиты природной среды, жизни и здоровья граждан и прав потребителей.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26. Государства-члены стремятся к унификации требований и гармонизации своего законодательства в сфере экологической безопасности нефтяной сферы, защиты природной среды, жизни и здоровья граждан и прав потребителей.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27. Положения, касающиеся обеспечения экологической безопасности, включаются в международный договор о формировании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Организация системы информационного обмена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28. Система информационного обмена реализуется в рамках интегрированной информационной системы Союза в соответствии со статьями 23 и 24 Договора, Протоколом об информационно</w:t>
      </w:r>
      <w:r w:rsidRPr="00894645">
        <w:rPr>
          <w:rFonts w:ascii="Sylfaen" w:hAnsi="Sylfaen"/>
          <w:sz w:val="24"/>
          <w:szCs w:val="24"/>
        </w:rPr>
        <w:softHyphen/>
        <w:t>коммуникационных технологиях и информационном взаимодействии в рамках Евразийского экономического союза (приложение № 3 к Договору), Протоколом о порядке формирования и распространения официальной статистической информации Евразийского экономического союза (приложение № 4 к Договору), а также в соответствии с разделами VIII и X Концепции.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29. Система информационного обмена обеспечивает взаимодействие уполномоченных органов государств-членов, Комиссии и хозяйствующих субъектов государств-членов по предоставлению информации в объеме, предусмотренном в документах, регламентирующих информационное взаимодействие в рамках системы информационного обмена, а также в соответствии с положениями международного договора о формировании общих рынков нефти и нефтепродуктов Союза. Включение информации, поступающей от хозяйствующих субъектов государства-члена, в национальный сегмент интегрированной информационной системы Союза обеспечивается уполномоченным органом этого государства-члена.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30. Доступ к информации, включенной в систему информационного обмена, предоставляется уполномоченным органам государств-членов, Комиссии и хозяйствующим субъектам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ов, прошедшим предварительную авторизацию.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31. До вступления в силу международного договора о формировании общих рынков нефти и нефтепродуктов Союза перечень информации, предоставляемой в процессе взаимодействия уполномоченных органов государств-членов, Комиссии и хозяйствующих субъектов государств-членов в электронной форме, определяется в соответствии с Договором.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Обмен технологической информацией между операторами систем транспортировки нефти и нефтепродуктов государств-членов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32. Обмен технологической информацией между операторами систем транспортировки нефти и нефтепродуктов государств-членов в объеме, необходимом для обеспечения бесперебойной межгосударственной транспортировки нефти и нефтепродуктов, осуществляется по взаимной договоренности операторов систем транспортировки нефти и нефтепродуктов государств-членов в соответствии с едиными правилами.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Разработка (доработка) программно-аппаратных комплексов операторов биржевых торгов и клиринговых организаций, необходимых для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осуществления биржевых торгов нефтью и нефтепродуктами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33. Разработка (доработка) программно-аппаратных комплексов операторов биржевых торгов нефтью и нефтепродуктами осуществляется в соответствии с разделом VIII Концепции.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34. С целью разработки (доработки) программно-аппаратных комплексов: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определяются при</w:t>
      </w:r>
      <w:r w:rsidR="006A581D">
        <w:rPr>
          <w:rFonts w:ascii="Sylfaen" w:hAnsi="Sylfaen"/>
          <w:sz w:val="24"/>
          <w:szCs w:val="24"/>
        </w:rPr>
        <w:t>нципы взаимодействия программно-</w:t>
      </w:r>
      <w:r w:rsidRPr="00894645">
        <w:rPr>
          <w:rFonts w:ascii="Sylfaen" w:hAnsi="Sylfaen"/>
          <w:sz w:val="24"/>
          <w:szCs w:val="24"/>
        </w:rPr>
        <w:t>аппаратных комплексов операторов биржевых торгов нефтью и нефтепродуктами и клиринговых организаций;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осуществляется аудит программно-аппаратных комплексов, определяются направления их разработки (доработки);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3) формируются принципы и архитектура технического решения, а также план действий по разработке (доработке) </w:t>
      </w:r>
      <w:r w:rsidR="006A581D">
        <w:rPr>
          <w:rFonts w:ascii="Sylfaen" w:hAnsi="Sylfaen"/>
          <w:sz w:val="24"/>
          <w:szCs w:val="24"/>
        </w:rPr>
        <w:t>программно-</w:t>
      </w:r>
      <w:r w:rsidRPr="00894645">
        <w:rPr>
          <w:rFonts w:ascii="Sylfaen" w:hAnsi="Sylfaen"/>
          <w:sz w:val="24"/>
          <w:szCs w:val="24"/>
        </w:rPr>
        <w:t>аппаратных комплексов.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Реализация пилотных проектов по осуществлению биржевых торгов нефтью и нефтепродуктами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35. В рамках формирования общих рынков нефти и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нефтепродуктов Союза уполномоченные органы государств-членов совместно с Комиссией оценивают необходимость реализации пилотных проектов по осуществлению биржевых торгов нефтью и нефтепродуктами и организации системы информационного обмена между Комиссией, уполномоченными органами государств-членов и хозяйствующими субъектами государств-членов.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Гармонизация законодательства государств-членов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в нефтяной сфере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36. Комиссия по согласованию с уполномоченными органами государств-членов определяет форму представления информации для проведения сравнительного анализа законодательства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 в нефтяной сфере (включая нормы и правила функционирования технологической и коммерческой инфраструктуры государств-членов, обеспечивающие формирование общих рынков нефти и нефтепродуктов Союза) и международных договоров между государствами-</w:t>
      </w:r>
      <w:r w:rsidRPr="00894645">
        <w:rPr>
          <w:rFonts w:ascii="Sylfaen" w:hAnsi="Sylfaen"/>
          <w:sz w:val="24"/>
          <w:szCs w:val="24"/>
        </w:rPr>
        <w:lastRenderedPageBreak/>
        <w:t>членами в нефтяной сфере.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37. По итогам сравнительного анализа законодательства государств-членов в нефтяной сфере Комиссия формирует сводный отчет, на основании которого уполномоченные органы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 совместно с Комиссией осуществляют подготовку плана мероприятий («дорожной карты») по гармонизации законодательства государств-членов в нефтяной сфере и определяют базовые подходы и принципы формирования общих рынков нефти и нефтепродуктов Союза, которым должны соответствовать нормативные правовые акты государств-членов, подлежащие гармонизации.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38. Государства-члены организуют работу по приведению международных договоров, заключенных между собой в области поставок нефти и нефтепродуктов, определения и порядка уплаты вывозных таможенных пошлин (иных пошлин, налогов и сборов, имеющих эквивалентное действие), в соответствие с базовыми подходами и принципами формирования общих рынков нефти и нефтепродуктов Союза.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39. В рамках осуществления мониторинга Комиссия проводит анализ изменений, внесенных в нормативные правовые акты государств-членов и международные договоры государств-членов в нефтяной сфере, на предмет их соответствия базовым подходам и принципам формирования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Развитие международного сотрудничества государств-членов в нефтяной сфере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40. Развитие международного сотрудничества государств-членов в нефтяной сфере реализуется в соответствии с разделом VII Концепции и осуществляется в целях обеспечения энергетической безопасности государств-членов, а также укрепления их позиций на мировом рынке энергетических ресурсов.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41. Мероприятия по развитию международного сотрудничества государств-членов в нефтяной сфере реализуются во взаимодействии между Комиссией и государствами-членами при участии хозяйствующих субъектов государств-членов.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Мониторинг биржевых и внебиржевых ценовых индикаторов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на мировом рынке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42. Для обеспечения мониторинга биржевых и внебиржевых ценовых индикаторов на мировом рынке: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утверждается перечень биржевых и внебиржевых площадок для мониторинга биржевых и внебиржевых ценовых индикаторов на мировом рынке;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утверждается перечень товаров (нефть и нефтепродукты), подлежащих мониторингу;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3) утверждается порядок анализа ценовых индикаторов;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формируется механизм доведения информации о ценовых индикаторах до сведения хозяйствующих субъектов государств-членов.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Привлечение инвестиций в нефтяную сферу государств-членов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43. Перечень мероприятий по привлечению инвестиций в нефтяную сферу государств-членов формируется в соответствии с разделом XV Договора и с учетом положений, предусмотренных разделом XI Концепции.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44. Мероприятия по привлечению инвестиций в нефтяную сферу государств-членов включают в себя меры по обеспечению благоприятного инвестиционного климата, а также меры по содействию реализации инфраструктурных проектов.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45. Формирование благоприятного инвестиционного климата предусматривает изменение в</w:t>
      </w:r>
      <w:r w:rsidR="00FF3F89">
        <w:rPr>
          <w:rFonts w:ascii="Sylfaen" w:hAnsi="Sylfaen"/>
          <w:sz w:val="24"/>
          <w:szCs w:val="24"/>
        </w:rPr>
        <w:t xml:space="preserve"> государствах-членах финансово-</w:t>
      </w:r>
      <w:r w:rsidRPr="00894645">
        <w:rPr>
          <w:rFonts w:ascii="Sylfaen" w:hAnsi="Sylfaen"/>
          <w:sz w:val="24"/>
          <w:szCs w:val="24"/>
        </w:rPr>
        <w:t>экономических и правовых условий с целью повышения эффективности инвестирования и снижения инвестиционных рисков.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Реализация инфраструктурных проектов в нефтяной сфере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46. Инфраструктурные проекты в нефтяной сфере реализуются с учетом заключенных международных договоров, а также принятых программ развития государств-членов и (или) их хозяйствующих субъектов.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47. В целях содействия реализации инфраструктурных проектов в нефтяной сфере: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государства-члены создают на своих территориях благоприятные условия для осуществления инфраструктурных проектов, реализация которых возможна в рамках общих рынков нефти и нефтепродуктов Союза;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государства-члены совместно определяют и реализуют инфраструктурные проекты в нефтяной сфере, представляющие для них взаимный интерес, в том числе обеспечивающие развитие систем транспортировки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операторы систем транспортировки нефти и нефтепродуктов государств-членов осуществляют взаимное информирование о планах развития систем транспортировки нефти и нефтепродуктов, влияющих на взаимную торговлю нефтью и нефтепродуктами между участниками общих рынков нефти и нефтепродуктов Союза.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48. Инфраструктурные проекты в нефтяной сфере реализуются в соответствии с положениями Протокола о торговле услугами, учреждении, деятельности и осуществлении инвестиций (приложение № 16 к Договору).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III. Обеспечение реализации Программы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Взаимодействие уполномоченных органов государств-членов в рамках реализации Программы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49. В целях осуществления взаимодействия уполномоченных органов государств-членов по реализации настоящей Программы Комиссией формируется рабочая группа в составе представителей государственных органов и хозяйствующих субъектов государств</w:t>
      </w:r>
      <w:r w:rsidR="006A581D">
        <w:rPr>
          <w:rFonts w:ascii="Sylfaen" w:hAnsi="Sylfaen"/>
          <w:sz w:val="24"/>
          <w:szCs w:val="24"/>
        </w:rPr>
        <w:t>-член</w:t>
      </w:r>
      <w:r w:rsidRPr="00894645">
        <w:rPr>
          <w:rFonts w:ascii="Sylfaen" w:hAnsi="Sylfaen"/>
          <w:sz w:val="24"/>
          <w:szCs w:val="24"/>
        </w:rPr>
        <w:t>ов, а также юридических лиц, являющихся операторами и (или) собственниками систем транспортировки нефти и нефтепродуктов, нефтехранилищ и складской инфраструктуры, расположенных на территориях государств-членов, операторов биржевых торгов.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50. Рабочая группа, указанная в пункте 49 настоящей Программы, осуществляет мониторинг функционирования и регулирования общих рынков нефти и нефтепродуктов Союза, в том числе:</w:t>
      </w:r>
    </w:p>
    <w:p w:rsidR="007F5753" w:rsidRPr="00894645" w:rsidRDefault="00EF60F4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1) </w:t>
      </w:r>
      <w:r w:rsidR="00894645" w:rsidRPr="00894645">
        <w:rPr>
          <w:rFonts w:ascii="Sylfaen" w:hAnsi="Sylfaen"/>
          <w:sz w:val="24"/>
          <w:szCs w:val="24"/>
        </w:rPr>
        <w:t>предоставления доступа к системам транспортировки нефти и нефтепродуктов и обеспечения транзита нефти и нефтепродуктов;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формирования механизмов рыночного ценообразования и развития биржевых торгов нефтью и нефтепродуктами;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формирования технологической основы общих рынков нефти и нефтепродуктов Союза и реализации информационного обмена;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4) развития международного сотрудничества и привлечения инвестиций в нефтяную сферу государств-членов.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EF60F4" w:rsidRDefault="00894645" w:rsidP="00894645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IV. Ресурсное обеспечение Программы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1. Порядок и механизмы финансирования реализации Программы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51. Финансовое обеспечение реализации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государств-членов и (или) внебюджетных источников в соответствии с законодательством этих государств.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52. При реализации настоящей Программы: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за счет средств бюджета Союза (средств бюджетной сметы Комиссии) финансируются выполняемые Комиссией мероприятия по разработке актов органов Союза и развитию интеграционного сегмента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2) за счет средств бюджетов государств-членов и (или) внебюджетных источников (в пределах средств на обеспечение деятельности уполномоченных органов государств-членов) финансируются осуществляемые с участием уполномоченных органов государств-членов мероприятия по разработке актов органов Союза, гармонизации нормативных правовых актов государств-членов и развитию национальных сегментов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3) с привлечением средств внебюджетных источников финансируются создание и развитие инфраструктуры, необходимой для функционирования общих рынков нефти и нефтепродуктов Союза.</w:t>
      </w:r>
    </w:p>
    <w:p w:rsidR="00EF60F4" w:rsidRDefault="00EF60F4" w:rsidP="00894645">
      <w:pPr>
        <w:pStyle w:val="Bodytext2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7F5753" w:rsidRPr="00894645" w:rsidRDefault="00894645" w:rsidP="00894645">
      <w:pPr>
        <w:pStyle w:val="Bodytext2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2. Научное обеспечение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53. В рамках реализации настоящей Программы требуется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общих рынков нефти и нефтепродуктов Союза, включая институциональные, технологические, юридические и экономические механизмы формирования общих рынков нефти и нефтепродуктов Союза, в том числе по следующим направлениям:</w:t>
      </w:r>
    </w:p>
    <w:p w:rsidR="007F5753" w:rsidRPr="00894645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1) подготовка методических рекомендаций для государств-членов по разработке нормативных правовых актов в сфере регулирования общих рынков нефти и нефтепродуктов Союза;</w:t>
      </w:r>
    </w:p>
    <w:p w:rsidR="00EF60F4" w:rsidRDefault="00894645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2) разработка методик осуществления мониторинга и анализа общих рынков нефти и нефтепродуктов Союза.</w:t>
      </w:r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EF60F4" w:rsidSect="00894645">
          <w:headerReference w:type="even" r:id="rId7"/>
          <w:headerReference w:type="default" r:id="rId8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F5753" w:rsidRPr="00894645" w:rsidRDefault="00894645" w:rsidP="00EF60F4">
      <w:pPr>
        <w:pStyle w:val="Bodytext20"/>
        <w:shd w:val="clear" w:color="auto" w:fill="auto"/>
        <w:spacing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lastRenderedPageBreak/>
        <w:t>УТВЕРЖДЕН</w:t>
      </w:r>
    </w:p>
    <w:p w:rsidR="00EF60F4" w:rsidRDefault="00894645" w:rsidP="00EF60F4">
      <w:pPr>
        <w:pStyle w:val="Bodytext20"/>
        <w:shd w:val="clear" w:color="auto" w:fill="auto"/>
        <w:spacing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EF60F4" w:rsidRDefault="00894645" w:rsidP="00EF60F4">
      <w:pPr>
        <w:pStyle w:val="Bodytext20"/>
        <w:shd w:val="clear" w:color="auto" w:fill="auto"/>
        <w:spacing w:after="120"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 xml:space="preserve">от </w:t>
      </w:r>
      <w:r w:rsidR="00EF60F4">
        <w:rPr>
          <w:rFonts w:ascii="Sylfaen" w:hAnsi="Sylfaen"/>
          <w:sz w:val="24"/>
          <w:szCs w:val="24"/>
        </w:rPr>
        <w:t xml:space="preserve">                      </w:t>
      </w:r>
      <w:r w:rsidRPr="00894645">
        <w:rPr>
          <w:rFonts w:ascii="Sylfaen" w:hAnsi="Sylfaen"/>
          <w:sz w:val="24"/>
          <w:szCs w:val="24"/>
        </w:rPr>
        <w:t>20</w:t>
      </w:r>
      <w:r w:rsidR="00EF60F4">
        <w:rPr>
          <w:rFonts w:ascii="Sylfaen" w:hAnsi="Sylfaen"/>
          <w:sz w:val="24"/>
          <w:szCs w:val="24"/>
        </w:rPr>
        <w:t xml:space="preserve">  </w:t>
      </w:r>
      <w:r w:rsidRPr="00894645">
        <w:rPr>
          <w:rFonts w:ascii="Sylfaen" w:hAnsi="Sylfaen"/>
          <w:sz w:val="24"/>
          <w:szCs w:val="24"/>
        </w:rPr>
        <w:t xml:space="preserve"> г. №</w:t>
      </w:r>
      <w:bookmarkStart w:id="2" w:name="bookmark5"/>
    </w:p>
    <w:p w:rsidR="00EF60F4" w:rsidRDefault="00EF60F4" w:rsidP="00EF60F4">
      <w:pPr>
        <w:pStyle w:val="Bodytext20"/>
        <w:shd w:val="clear" w:color="auto" w:fill="auto"/>
        <w:spacing w:after="120" w:line="240" w:lineRule="auto"/>
        <w:ind w:left="2835" w:right="2664"/>
        <w:jc w:val="center"/>
        <w:rPr>
          <w:rStyle w:val="Heading22Spacing2pt"/>
          <w:rFonts w:ascii="Sylfaen" w:hAnsi="Sylfaen"/>
          <w:bCs w:val="0"/>
          <w:spacing w:val="0"/>
          <w:sz w:val="24"/>
          <w:szCs w:val="24"/>
        </w:rPr>
      </w:pPr>
    </w:p>
    <w:p w:rsidR="007F5753" w:rsidRPr="00EF60F4" w:rsidRDefault="00894645" w:rsidP="00EF60F4">
      <w:pPr>
        <w:pStyle w:val="Bodytext20"/>
        <w:shd w:val="clear" w:color="auto" w:fill="auto"/>
        <w:spacing w:after="120" w:line="240" w:lineRule="auto"/>
        <w:ind w:left="2835" w:right="2664"/>
        <w:jc w:val="center"/>
        <w:rPr>
          <w:rFonts w:ascii="Sylfaen" w:hAnsi="Sylfaen"/>
          <w:sz w:val="24"/>
          <w:szCs w:val="24"/>
        </w:rPr>
      </w:pPr>
      <w:r w:rsidRPr="00EF60F4">
        <w:rPr>
          <w:rStyle w:val="Heading22Spacing2pt"/>
          <w:rFonts w:ascii="Sylfaen" w:hAnsi="Sylfaen"/>
          <w:bCs w:val="0"/>
          <w:spacing w:val="0"/>
          <w:sz w:val="24"/>
          <w:szCs w:val="24"/>
        </w:rPr>
        <w:t>ПЛАН</w:t>
      </w:r>
      <w:bookmarkEnd w:id="2"/>
    </w:p>
    <w:p w:rsidR="007F5753" w:rsidRPr="00894645" w:rsidRDefault="00894645" w:rsidP="00EF60F4">
      <w:pPr>
        <w:pStyle w:val="Bodytext80"/>
        <w:shd w:val="clear" w:color="auto" w:fill="auto"/>
        <w:spacing w:after="120" w:line="240" w:lineRule="auto"/>
        <w:ind w:left="2835" w:right="2664"/>
        <w:rPr>
          <w:rFonts w:ascii="Sylfaen" w:hAnsi="Sylfaen"/>
          <w:sz w:val="24"/>
          <w:szCs w:val="24"/>
        </w:rPr>
      </w:pPr>
      <w:r w:rsidRPr="00894645">
        <w:rPr>
          <w:rFonts w:ascii="Sylfaen" w:hAnsi="Sylfaen"/>
          <w:sz w:val="24"/>
          <w:szCs w:val="24"/>
        </w:rPr>
        <w:t>мероприятий по формированию общих рынков нефти и нефтепродуктов</w:t>
      </w:r>
      <w:r w:rsidR="00EF60F4">
        <w:rPr>
          <w:rFonts w:ascii="Sylfaen" w:hAnsi="Sylfaen"/>
          <w:sz w:val="24"/>
          <w:szCs w:val="24"/>
        </w:rPr>
        <w:t xml:space="preserve"> </w:t>
      </w:r>
      <w:r w:rsidRPr="00894645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1414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117"/>
        <w:gridCol w:w="20"/>
        <w:gridCol w:w="1923"/>
        <w:gridCol w:w="25"/>
        <w:gridCol w:w="2148"/>
        <w:gridCol w:w="6"/>
        <w:gridCol w:w="2142"/>
        <w:gridCol w:w="2762"/>
      </w:tblGrid>
      <w:tr w:rsidR="007F5753" w:rsidRPr="00894645" w:rsidTr="006C03ED">
        <w:trPr>
          <w:tblHeader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894645" w:rsidRDefault="00894645" w:rsidP="00EF60F4">
            <w:pPr>
              <w:pStyle w:val="Bodytext20"/>
              <w:shd w:val="clear" w:color="auto" w:fill="auto"/>
              <w:spacing w:after="120" w:line="240" w:lineRule="auto"/>
              <w:ind w:left="163" w:right="202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 w:rsidR="00EF60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реализации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894645" w:rsidRDefault="00894645" w:rsidP="00EF60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Ожидаемый</w:t>
            </w:r>
            <w:r w:rsidR="00EF60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753" w:rsidRPr="00894645" w:rsidRDefault="00894645" w:rsidP="00EF60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Ответственный</w:t>
            </w:r>
            <w:r w:rsidR="00EF60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Соисполнители</w:t>
            </w:r>
          </w:p>
        </w:tc>
      </w:tr>
      <w:tr w:rsidR="007F5753" w:rsidRPr="00894645" w:rsidTr="006C03ED">
        <w:trPr>
          <w:jc w:val="center"/>
        </w:trPr>
        <w:tc>
          <w:tcPr>
            <w:tcW w:w="141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5753" w:rsidRPr="00894645" w:rsidRDefault="00894645" w:rsidP="00EF60F4">
            <w:pPr>
              <w:pStyle w:val="Bodytext20"/>
              <w:shd w:val="clear" w:color="auto" w:fill="auto"/>
              <w:spacing w:after="120" w:line="240" w:lineRule="auto"/>
              <w:ind w:left="3036" w:right="3572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I. Разработка актов, регулирующих общие рынки нефти и нефтепродуктов Евразийского экономического союза (далее - Союз)</w:t>
            </w:r>
          </w:p>
        </w:tc>
      </w:tr>
      <w:tr w:rsidR="007F5753" w:rsidRPr="00894645" w:rsidTr="00B31913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1. Принятие документов, регламентирующих информационное взаимодействие в рамках информационного обмена:</w:t>
            </w:r>
          </w:p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по перечню информации, предоставляемой в процессе взаимодействия уполномоченных органов государств-членов, Комиссии и хозяйствующих субъектов государств</w:t>
            </w:r>
            <w:r w:rsidR="006A581D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ов в электронной форме, определенному в соответствии с Договором о Евразийском экономическом союзе от 29 мая</w:t>
            </w:r>
          </w:p>
        </w:tc>
        <w:tc>
          <w:tcPr>
            <w:tcW w:w="1948" w:type="dxa"/>
            <w:gridSpan w:val="2"/>
            <w:shd w:val="clear" w:color="auto" w:fill="FFFFFF"/>
            <w:vAlign w:val="center"/>
          </w:tcPr>
          <w:p w:rsidR="007F5753" w:rsidRPr="00894645" w:rsidRDefault="00894645" w:rsidP="00B319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акты Евразийской экономической комиссии (далее - Комиссия)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6A581D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государства-</w:t>
            </w:r>
            <w:r w:rsidR="00894645" w:rsidRPr="00894645">
              <w:rPr>
                <w:rStyle w:val="Bodytext211pt"/>
                <w:rFonts w:ascii="Sylfaen" w:hAnsi="Sylfaen"/>
                <w:sz w:val="24"/>
                <w:szCs w:val="24"/>
              </w:rPr>
              <w:t>члены Союза (далее - государства-члены)</w:t>
            </w:r>
          </w:p>
        </w:tc>
      </w:tr>
      <w:tr w:rsidR="007F5753" w:rsidRPr="00894645" w:rsidTr="00B31913">
        <w:trPr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74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2014 года (далее ֊ Договор) и международными договорами в рамках Союза</w:t>
            </w:r>
          </w:p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74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по перечню информации, предоставляемой в процессе взаимодействия уполномоченных органов государств-членов, Комиссии и хозяйствующих субъектов государств</w:t>
            </w:r>
            <w:r w:rsidR="006A581D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ов в электронной форме, определяемому в соответствии с международным договором о формировании общих рынков нефти и нефтепродуктов Союза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5753" w:rsidRPr="00894645" w:rsidRDefault="00894645" w:rsidP="00B319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2024 год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5753" w:rsidRPr="00894645" w:rsidRDefault="007F5753" w:rsidP="00894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</w:tcPr>
          <w:p w:rsidR="007F5753" w:rsidRPr="00894645" w:rsidRDefault="007F5753" w:rsidP="008946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  <w:shd w:val="clear" w:color="auto" w:fill="FFFFFF"/>
          </w:tcPr>
          <w:p w:rsidR="007F5753" w:rsidRPr="00894645" w:rsidRDefault="007F5753" w:rsidP="00894645">
            <w:pPr>
              <w:spacing w:after="120"/>
              <w:rPr>
                <w:rFonts w:ascii="Sylfaen" w:hAnsi="Sylfaen"/>
              </w:rPr>
            </w:pP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2. Разработка международного договора о формировании общих рынков нефти и нефтепродуктов Союза и направление его на внутригосударственное согласование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акт Комиссии</w:t>
            </w:r>
          </w:p>
        </w:tc>
        <w:tc>
          <w:tcPr>
            <w:tcW w:w="214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60"/>
              <w:jc w:val="both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3. Принятие решения о переходе ко второму этапу формирования общих рынков нефти и нефтепродуктов Союза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4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4. Разработка единых правил доступа к системам транспортировки нефти и нефтепродуктов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 xml:space="preserve">единые правила доступа к системам транспортировки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нефти и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нефтепродуктов</w:t>
            </w:r>
          </w:p>
        </w:tc>
        <w:tc>
          <w:tcPr>
            <w:tcW w:w="214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17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5. Разработка правил торговли нефтью и нефтепродуктами на общих рынках нефти и нефтепродуктов Союза</w:t>
            </w:r>
          </w:p>
        </w:tc>
        <w:tc>
          <w:tcPr>
            <w:tcW w:w="1943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2023 год</w:t>
            </w:r>
          </w:p>
        </w:tc>
        <w:tc>
          <w:tcPr>
            <w:tcW w:w="2173" w:type="dxa"/>
            <w:gridSpan w:val="2"/>
            <w:shd w:val="clear" w:color="auto" w:fill="FFFFFF"/>
            <w:vAlign w:val="bottom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правила торговли нефтью и нефтепродуктами на общих рынках нефти и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нефтепродуктов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7F5753" w:rsidRPr="00894645" w:rsidTr="006C03ED">
        <w:trPr>
          <w:jc w:val="center"/>
        </w:trPr>
        <w:tc>
          <w:tcPr>
            <w:tcW w:w="5117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6. Разработка правил проведения биржевых торгов нефтью и нефтепродуктами</w:t>
            </w:r>
          </w:p>
        </w:tc>
        <w:tc>
          <w:tcPr>
            <w:tcW w:w="1943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2023 год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правила проведения биржевых торгов нефтью и нефтепродуктами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7F5753" w:rsidRPr="00894645" w:rsidTr="006C03ED">
        <w:trPr>
          <w:jc w:val="center"/>
        </w:trPr>
        <w:tc>
          <w:tcPr>
            <w:tcW w:w="5117" w:type="dxa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80"/>
              <w:jc w:val="both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7. Принятие решения о переходе к третьему этапу формирования общих рынков нефти и нефтепродуктов Союза</w:t>
            </w:r>
          </w:p>
        </w:tc>
        <w:tc>
          <w:tcPr>
            <w:tcW w:w="1943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2024 год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17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8. Принятие международного договора о формировании общих рынков нефти и нефтепродуктов Союза</w:t>
            </w:r>
          </w:p>
        </w:tc>
        <w:tc>
          <w:tcPr>
            <w:tcW w:w="1943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2024 год</w:t>
            </w: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 о формировании общих рынков нефти и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нефтепродуктов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7F5753" w:rsidP="006C03E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7F5753" w:rsidRPr="00894645" w:rsidTr="006C03ED">
        <w:trPr>
          <w:jc w:val="center"/>
        </w:trPr>
        <w:tc>
          <w:tcPr>
            <w:tcW w:w="11381" w:type="dxa"/>
            <w:gridSpan w:val="7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456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II. Организация системы информационного обмена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7F5753" w:rsidP="00894645">
            <w:pPr>
              <w:spacing w:after="120"/>
              <w:rPr>
                <w:rFonts w:ascii="Sylfaen" w:hAnsi="Sylfaen"/>
              </w:rPr>
            </w:pP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9. Организация обмена технологической информацией между операторами систем транспортировки нефти и нефтепродуктов государств-членов для обеспечения бесперебойной межгосударственной транспортировки нефти и нефтепродуктов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обмен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технологической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информацией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10. Организация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взаимодействия в рамках общих рынков нефти и нефтепродуктов Союза в соответствии с перечнем информации, предоставляемой в процессе взаимодействия уполномоченных органов государств-членов, Комиссии и хозяйствующих субъектов государств</w:t>
            </w:r>
            <w:r w:rsidR="006A581D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ов в электронной форме, определяемым в соответствии с Договором и международными договорами в рамках Союза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2024 год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система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информационного</w:t>
            </w:r>
            <w:r w:rsidR="006C03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обмена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14143" w:type="dxa"/>
            <w:gridSpan w:val="8"/>
            <w:shd w:val="clear" w:color="auto" w:fill="FFFFFF"/>
            <w:vAlign w:val="center"/>
          </w:tcPr>
          <w:p w:rsidR="007F5753" w:rsidRPr="00894645" w:rsidRDefault="00894645" w:rsidP="0089464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III. Гармонизация законодательства государств-членов в нефтяной сфере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  <w:vAlign w:val="center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4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 Проведение сравнительного анализа законодательства государств-членов и международных договоров между государствами-членами в нефтяной сфере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сводный отчет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4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12. Разработка и утверждение плана мероприятий («дорожной карты») по гармонизации законодательства государств</w:t>
            </w:r>
            <w:r w:rsidR="006A581D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ов в нефтяной сфере</w:t>
            </w:r>
          </w:p>
        </w:tc>
        <w:tc>
          <w:tcPr>
            <w:tcW w:w="19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7F5753" w:rsidRPr="00894645" w:rsidTr="006C03ED">
        <w:trPr>
          <w:jc w:val="center"/>
        </w:trPr>
        <w:tc>
          <w:tcPr>
            <w:tcW w:w="5137" w:type="dxa"/>
            <w:gridSpan w:val="2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ind w:left="340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13. Гармонизация законодательства государств-членов в нефтяной сфере</w:t>
            </w:r>
          </w:p>
        </w:tc>
        <w:tc>
          <w:tcPr>
            <w:tcW w:w="1948" w:type="dxa"/>
            <w:gridSpan w:val="2"/>
            <w:shd w:val="clear" w:color="auto" w:fill="FFFFFF"/>
            <w:vAlign w:val="bottom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 актом Высшего Евразийского экономического совета</w:t>
            </w:r>
          </w:p>
        </w:tc>
        <w:tc>
          <w:tcPr>
            <w:tcW w:w="2148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нормативные правовые акты государств-членов</w:t>
            </w:r>
          </w:p>
        </w:tc>
        <w:tc>
          <w:tcPr>
            <w:tcW w:w="2148" w:type="dxa"/>
            <w:gridSpan w:val="2"/>
            <w:shd w:val="clear" w:color="auto" w:fill="FFFFFF"/>
          </w:tcPr>
          <w:p w:rsidR="007F5753" w:rsidRPr="00894645" w:rsidRDefault="007F5753" w:rsidP="006C03E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762" w:type="dxa"/>
            <w:shd w:val="clear" w:color="auto" w:fill="FFFFFF"/>
          </w:tcPr>
          <w:p w:rsidR="007F5753" w:rsidRPr="00894645" w:rsidRDefault="00894645" w:rsidP="006C03E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9464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</w:tbl>
    <w:p w:rsidR="00894645" w:rsidRPr="00894645" w:rsidRDefault="00894645" w:rsidP="006C03ED">
      <w:pPr>
        <w:spacing w:after="120"/>
        <w:rPr>
          <w:rFonts w:ascii="Sylfaen" w:hAnsi="Sylfaen"/>
        </w:rPr>
      </w:pPr>
    </w:p>
    <w:sectPr w:rsidR="00894645" w:rsidRPr="00894645" w:rsidSect="00EF60F4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B3E" w:rsidRDefault="00E97B3E" w:rsidP="007F5753">
      <w:r>
        <w:separator/>
      </w:r>
    </w:p>
  </w:endnote>
  <w:endnote w:type="continuationSeparator" w:id="0">
    <w:p w:rsidR="00E97B3E" w:rsidRDefault="00E97B3E" w:rsidP="007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B3E" w:rsidRDefault="00E97B3E"/>
  </w:footnote>
  <w:footnote w:type="continuationSeparator" w:id="0">
    <w:p w:rsidR="00E97B3E" w:rsidRDefault="00E97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89" w:rsidRDefault="00FF3F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89" w:rsidRDefault="00FF3F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6BD"/>
    <w:multiLevelType w:val="multilevel"/>
    <w:tmpl w:val="8092F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C7664"/>
    <w:multiLevelType w:val="multilevel"/>
    <w:tmpl w:val="7B2E00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A14AD"/>
    <w:multiLevelType w:val="multilevel"/>
    <w:tmpl w:val="B7A60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97473"/>
    <w:multiLevelType w:val="multilevel"/>
    <w:tmpl w:val="71FE8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F6D65"/>
    <w:multiLevelType w:val="multilevel"/>
    <w:tmpl w:val="0C161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21570"/>
    <w:multiLevelType w:val="multilevel"/>
    <w:tmpl w:val="3790EB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0836E6"/>
    <w:multiLevelType w:val="multilevel"/>
    <w:tmpl w:val="AFB0A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9B13F4"/>
    <w:multiLevelType w:val="multilevel"/>
    <w:tmpl w:val="5AA62E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31378E"/>
    <w:multiLevelType w:val="multilevel"/>
    <w:tmpl w:val="1CD43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40135"/>
    <w:multiLevelType w:val="multilevel"/>
    <w:tmpl w:val="EE0AB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AD6E0A"/>
    <w:multiLevelType w:val="multilevel"/>
    <w:tmpl w:val="72883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E85CCE"/>
    <w:multiLevelType w:val="multilevel"/>
    <w:tmpl w:val="42949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9C1EC4"/>
    <w:multiLevelType w:val="multilevel"/>
    <w:tmpl w:val="07D4B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FC37D4"/>
    <w:multiLevelType w:val="multilevel"/>
    <w:tmpl w:val="F7A66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43028C"/>
    <w:multiLevelType w:val="multilevel"/>
    <w:tmpl w:val="AED23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4B4BE9"/>
    <w:multiLevelType w:val="multilevel"/>
    <w:tmpl w:val="17162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594286"/>
    <w:multiLevelType w:val="multilevel"/>
    <w:tmpl w:val="B3F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D4B5F"/>
    <w:multiLevelType w:val="multilevel"/>
    <w:tmpl w:val="5D1A12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16208"/>
    <w:multiLevelType w:val="multilevel"/>
    <w:tmpl w:val="3AD8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EB206E"/>
    <w:multiLevelType w:val="multilevel"/>
    <w:tmpl w:val="CA9AFE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7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4"/>
  </w:num>
  <w:num w:numId="16">
    <w:abstractNumId w:val="5"/>
  </w:num>
  <w:num w:numId="17">
    <w:abstractNumId w:val="4"/>
  </w:num>
  <w:num w:numId="18">
    <w:abstractNumId w:val="16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53"/>
    <w:rsid w:val="00023CE9"/>
    <w:rsid w:val="006A581D"/>
    <w:rsid w:val="006C03ED"/>
    <w:rsid w:val="007454C0"/>
    <w:rsid w:val="007F5753"/>
    <w:rsid w:val="00894645"/>
    <w:rsid w:val="00B31913"/>
    <w:rsid w:val="00CA4197"/>
    <w:rsid w:val="00E97B3E"/>
    <w:rsid w:val="00EA7C6D"/>
    <w:rsid w:val="00EF60F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0FB05"/>
  <w15:docId w15:val="{31B3A314-8768-4922-BA38-B381EDD5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F57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5753"/>
    <w:rPr>
      <w:color w:val="0066CC"/>
      <w:u w:val="single"/>
    </w:rPr>
  </w:style>
  <w:style w:type="character" w:customStyle="1" w:styleId="Bodytext9">
    <w:name w:val="Body text (9)_"/>
    <w:basedOn w:val="DefaultParagraphFont"/>
    <w:link w:val="Bodytext9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4pt">
    <w:name w:val="Body text (2) + Spacing 4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7F57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6pt">
    <w:name w:val="Header or footer + 16 pt"/>
    <w:aliases w:val="Bold"/>
    <w:basedOn w:val="Headerorfooter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18pt">
    <w:name w:val="Header or footer + 18 pt"/>
    <w:aliases w:val="Bold"/>
    <w:basedOn w:val="Headerorfooter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_"/>
    <w:basedOn w:val="DefaultParagraphFont"/>
    <w:link w:val="Bodytext8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7F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7F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90">
    <w:name w:val="Body text (9)"/>
    <w:basedOn w:val="Normal"/>
    <w:link w:val="Bodytext9"/>
    <w:rsid w:val="007F57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7F57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F575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7F57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F57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7F575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7F5753"/>
    <w:pPr>
      <w:shd w:val="clear" w:color="auto" w:fill="FFFFFF"/>
      <w:spacing w:after="6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7F575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89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645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89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6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2019-02-05T13:20:00Z</dcterms:created>
  <dcterms:modified xsi:type="dcterms:W3CDTF">2020-03-17T06:23:00Z</dcterms:modified>
</cp:coreProperties>
</file>