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3737C5">
        <w:rPr>
          <w:rFonts w:ascii="Sylfaen" w:hAnsi="Sylfaen"/>
          <w:sz w:val="24"/>
          <w:szCs w:val="24"/>
        </w:rPr>
        <w:t>УТВЕРЖДЕНЫ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Решением Высшего Евразийского экономического совета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от 26 декабря 2016 г. №</w:t>
      </w:r>
    </w:p>
    <w:p w:rsidR="003737C5" w:rsidRDefault="003737C5" w:rsidP="003737C5">
      <w:pPr>
        <w:pStyle w:val="Heading30"/>
        <w:keepNext/>
        <w:keepLines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  <w:bookmarkStart w:id="1" w:name="bookmark2"/>
    </w:p>
    <w:p w:rsidR="00CF3CC2" w:rsidRPr="003737C5" w:rsidRDefault="003737C5" w:rsidP="003737C5">
      <w:pPr>
        <w:pStyle w:val="Heading30"/>
        <w:keepNext/>
        <w:keepLines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ПРАВИЛА</w:t>
      </w:r>
      <w:bookmarkEnd w:id="1"/>
    </w:p>
    <w:p w:rsidR="00CF3CC2" w:rsidRDefault="003737C5" w:rsidP="003737C5">
      <w:pPr>
        <w:pStyle w:val="Heading30"/>
        <w:keepNext/>
        <w:keepLines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  <w:bookmarkStart w:id="2" w:name="bookmark3"/>
      <w:r w:rsidRPr="003737C5">
        <w:rPr>
          <w:rFonts w:ascii="Sylfaen" w:hAnsi="Sylfaen"/>
          <w:sz w:val="24"/>
          <w:szCs w:val="24"/>
        </w:rPr>
        <w:t>регулирования торговли услугами, учреждения и деятельности</w:t>
      </w:r>
      <w:bookmarkEnd w:id="2"/>
    </w:p>
    <w:p w:rsidR="003737C5" w:rsidRPr="003737C5" w:rsidRDefault="003737C5" w:rsidP="003737C5">
      <w:pPr>
        <w:pStyle w:val="Heading30"/>
        <w:keepNext/>
        <w:keepLines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I. Общие положения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Pr="003737C5">
        <w:rPr>
          <w:rFonts w:ascii="Sylfaen" w:hAnsi="Sylfaen"/>
          <w:sz w:val="24"/>
          <w:szCs w:val="24"/>
        </w:rPr>
        <w:t>Настоящие Правила разработаны в целях реализации раздела XV Договора о Евразийском экономическом союзе</w:t>
      </w:r>
      <w:r w:rsidRPr="003737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737C5">
        <w:rPr>
          <w:rFonts w:ascii="Sylfaen" w:hAnsi="Sylfaen"/>
          <w:sz w:val="24"/>
          <w:szCs w:val="24"/>
        </w:rPr>
        <w:t>от 29 мая 2014 года (далее - Договор о Союзе) и Протокола о торговле услугами, учреждении, деятельности и осуществлении инвестиций (приложение № 16 к Договору о Союзе) (далее - Протокол).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2. Настоящие Правила предназначены для руководства компетентными органами при регулировании торговли услугами, учреждения и деятельности, а также в процессе либерализации торговли услугами, учреждения и деятельности в целях обеспечения свободы торговли услугами, учреждения, деятельности и осуществления инвестиций.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Компетентные органы руководствуются настоящими Правилами без ущерба для положений пунктов 4, 6 и 7 статьи 65 Договора о Союзе, пунктов 15 - 17, 23, 26, 28, 31, 33 и 35 Протокола.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На финансовые услуги, регулируемые разделом XVI Договора о Союзе, распространяются специальные правила, разработанные соответствующими органами государств - членов Евразийского экономического союза (далее соответственно - государства-члены, Союз) в соответствии с пунктом 15 Протокола по финансовым услугам (приложение № 17 к Договору о Союзе).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3. Для целей настоящих Правил используются основные понятия, которые означают следующее: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«адресаты регулирования» - лица государств-членов,</w:t>
      </w:r>
      <w:r w:rsidRPr="003737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737C5">
        <w:rPr>
          <w:rFonts w:ascii="Sylfaen" w:hAnsi="Sylfaen"/>
          <w:sz w:val="24"/>
          <w:szCs w:val="24"/>
        </w:rPr>
        <w:t>осуществляющие (намеревающиеся осуществлять) поставку и получение (потребление) услуг, учреждение, деятельность и (или) действия на территориях государств-членов;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«единое окно» - система взаимодействия между компетентным органом и заявителем, позволяющая заявителю однократно представлять (направлять) документы в стандартизированном виде, в том числе через государственную информационную систему государства-члена (единый пропускной канал), обеспечивающую осуществление разрешительной процедуры в электронной форме;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 xml:space="preserve">«заявитель» - лицо, претендующее на подтверждение права (подтверждающее свое право) на торговлю услугами, учреждение, деятельность и (или) действия, в том </w:t>
      </w:r>
      <w:r w:rsidRPr="003737C5">
        <w:rPr>
          <w:rFonts w:ascii="Sylfaen" w:hAnsi="Sylfaen"/>
          <w:sz w:val="24"/>
          <w:szCs w:val="24"/>
        </w:rPr>
        <w:lastRenderedPageBreak/>
        <w:t>числе посредством получения разрешения или направления уведомления (заявления, извещения и т. п.);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«неоправданные барьеры (ограничения)» - обязательные требования и (или) процедуры, приводящие к экономическим издержкам более значительным, чем это необходимо для достижения целей регулирования, в том числе целей обеспечения безопасности и качества поставляемых услуг, безопасности осуществляемых деятельности и (или) действий, с учетом социально-экономических последствий и последствий для бюджетов бюджетной системы государства-члена, осуществляющего соответствующее регулирование;</w:t>
      </w:r>
    </w:p>
    <w:p w:rsidR="00CF3CC2" w:rsidRPr="003737C5" w:rsidRDefault="003737C5" w:rsidP="002251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«регулирование» - система мер, принимаемых и применяемых компетентными органами в отношении адресатов регулирования,</w:t>
      </w:r>
      <w:r w:rsidR="00225114" w:rsidRPr="00225114">
        <w:rPr>
          <w:rFonts w:ascii="Sylfaen" w:hAnsi="Sylfaen"/>
          <w:sz w:val="24"/>
          <w:szCs w:val="24"/>
        </w:rPr>
        <w:t xml:space="preserve"> </w:t>
      </w:r>
      <w:r w:rsidRPr="003737C5">
        <w:rPr>
          <w:rFonts w:ascii="Sylfaen" w:hAnsi="Sylfaen"/>
          <w:sz w:val="24"/>
          <w:szCs w:val="24"/>
        </w:rPr>
        <w:t>которая включает в себя в том числе следующие регулятивные требования и (или) процедуры: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обязательные требования к адресатам регулирования, поставляемым и (или) получаемым (потребляемым) услугам, учреждению, деятельности и (или) действиям;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разрешительные, уведомительные и контрольные (надзорные) процедуры;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меры воздействия на лиц, нарушивших обязательные требования.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Иные понятия используются в настоящих Правилах в значениях, определенных в разделе XV Договора о Союзе и Протоколе.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4. Регулирование осуществляется компетентными органами в соответствии с настоящими Правилами для достижения целей, установленных Договором о Союзе, иными международными договорами и актами, составляющими право Союза, и законодательством государств-членов.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5. При применении настоящих Правил компетентные органы принимают во внимание рекомендации Евразийской экономической комиссии (далее - Комиссия), указанные в пункте 57 настоящих Правил, и (или) международные стандарты международных организаций, членство в которых открыто для всех государств-членов, в том числе по перечню согласно приложению.</w:t>
      </w:r>
    </w:p>
    <w:p w:rsidR="00225114" w:rsidRDefault="00225114" w:rsidP="0022511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CF3CC2" w:rsidRPr="003737C5" w:rsidRDefault="003737C5" w:rsidP="0022511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II. Принципы регулирования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6. Основными принципами регулирования являются: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а) законность - компетентные органы (их должностные лица) устанавливают и применяют регулятивные требования и (или) процедуры, а также осуществляют любые действия</w:t>
      </w:r>
      <w:r w:rsidRPr="003737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737C5">
        <w:rPr>
          <w:rFonts w:ascii="Sylfaen" w:hAnsi="Sylfaen"/>
          <w:sz w:val="24"/>
          <w:szCs w:val="24"/>
        </w:rPr>
        <w:t>в соответствии с положениями международных договоров и актов, составляющих право Союза, и законодательства государств-членов и только в случаях, предусмотренных указанными положениями;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б) транспарентность - компетентные органы обеспечивают открытость и доступность нормативных правовых актов государств-членов (далее - нормативные правовые акты) (включая их проекты);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lastRenderedPageBreak/>
        <w:t>в) соразмерность - компетентные органы (их должностные лица) при установлении и применении регулятивных требований и (или) процедур обеспечивают достижение целей регулирования путем минимального ограничения свободы торговли услугами, учреждения, деятельности и (или) действий;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г) определенность регулирования - все регулятивные требования и (или) процедуры должны быть понятными (однозначными). В случае неоднозначности норм законодательства государств-членов, устанавливающих требования и (или) процедуры при регулировании, а также при рассмотрении и разрешении возникших споров такие нормы толкуются и решения принимаются в пользу адресатов регулирования.</w:t>
      </w:r>
    </w:p>
    <w:p w:rsidR="00225114" w:rsidRDefault="00225114" w:rsidP="0022511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CF3CC2" w:rsidRPr="003737C5" w:rsidRDefault="003737C5" w:rsidP="00225114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III. Установление регулятивных требований и (или) процедур в нормативных правовых актах</w:t>
      </w:r>
    </w:p>
    <w:p w:rsidR="00CF3CC2" w:rsidRPr="003737C5" w:rsidRDefault="003737C5" w:rsidP="002251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7. Регулирование должно обеспечивать достаточный уровень безопасности и качества поставляемых услуг, а также безопасности осуществляемых деятельности и (или) действий при минимальной объективно необходимой нагрузке на адресатов регулирования с учетом социально-экономических последствий и последствий для бюджетов</w:t>
      </w:r>
      <w:r w:rsidR="00225114" w:rsidRPr="00225114">
        <w:rPr>
          <w:rFonts w:ascii="Sylfaen" w:hAnsi="Sylfaen"/>
          <w:sz w:val="24"/>
          <w:szCs w:val="24"/>
        </w:rPr>
        <w:t xml:space="preserve"> </w:t>
      </w:r>
      <w:r w:rsidRPr="003737C5">
        <w:rPr>
          <w:rFonts w:ascii="Sylfaen" w:hAnsi="Sylfaen"/>
          <w:sz w:val="24"/>
          <w:szCs w:val="24"/>
        </w:rPr>
        <w:t>бюджетной системы государства-члена, осуществляющего соответствующее регулирование.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8. Порядок предварительного опубликования и проведения оценки</w:t>
      </w:r>
      <w:r w:rsidRPr="003737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737C5">
        <w:rPr>
          <w:rFonts w:ascii="Sylfaen" w:hAnsi="Sylfaen"/>
          <w:sz w:val="24"/>
          <w:szCs w:val="24"/>
        </w:rPr>
        <w:t>проектов нормативных правовых актов, предусматривающих</w:t>
      </w:r>
      <w:r w:rsidRPr="003737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737C5">
        <w:rPr>
          <w:rFonts w:ascii="Sylfaen" w:hAnsi="Sylfaen"/>
          <w:sz w:val="24"/>
          <w:szCs w:val="24"/>
        </w:rPr>
        <w:t>регулятивные требования и (или) процедуры, в рамках нормотворческого процесса устанавливается в соответствии</w:t>
      </w:r>
      <w:r w:rsidRPr="003737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737C5">
        <w:rPr>
          <w:rFonts w:ascii="Sylfaen" w:hAnsi="Sylfaen"/>
          <w:sz w:val="24"/>
          <w:szCs w:val="24"/>
        </w:rPr>
        <w:t>с законодательством государств-членов с учетом критериев, предусмотренных пунктом 61 Протокола.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9. Оценка проектов нормативных правовых актов, устанавливающих регулятивные требования и (или) процедуры, осуществляется в соответствии с принципами, предусмотренными пунктом 6 настоящих Правил, на основании анализа в том числе: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а) проблемы, на решение которой направлен проект нормативного правового акта, целей его принятия и применения, а также группы (групп) лиц, на защиту интересов которой направлен проект нормативного правового акта;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б) круга адресатов регулирования, включая хозяйствующих субъектов, а также воздействие, которое будет оказано на них в связи с принятием нормативного правового акта;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в) содержания устанавливаемых для адресатов регулирования требований (обязательных правил поведения);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г) механизма разрешения проблемы и достижения цели принятия нормативного правового акта (описания взаимосвязи между положениями проекта нормативного правового акта и решаемой проблемой);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 xml:space="preserve">д) сведений об альтернативе предлагаемому проектом нормативного правового </w:t>
      </w:r>
      <w:r w:rsidRPr="003737C5">
        <w:rPr>
          <w:rFonts w:ascii="Sylfaen" w:hAnsi="Sylfaen"/>
          <w:sz w:val="24"/>
          <w:szCs w:val="24"/>
        </w:rPr>
        <w:lastRenderedPageBreak/>
        <w:t>акта регулированию;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е) соразмерности предлагаемого проектом нормативного правового акта регулирования требованиям, которые необходимы для обеспечения безопасности и качества поставляемых услуг, а также безопасности осуществляемой деятельности и (или) действий (в целях выполнения критерия, предусмотренного подпунктом 2 пункта 61 Протокола);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ж) отсутствия в проекте нормативного правового акта положений, устанавливающих ограничения для торговли услугами, учреждения, деятельности и (или) действий, не предусмотренные перечнем сохраняемых государствами-членами «горизонтальных» ограничений в отношении всех секторов и видов деятельности (приложение № 2 к Протоколу) и индивидуальными национальными перечнями ограничений, изъятий, дополнительных требований и условий в рамках Евразийского экономического союза для государств-членов, утвержденными Решением Высшего Евразийского экономического совета от 23 декабря 2014 г. № 112.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10. При размещении проектов нормативных правовых актов на официальных сайтах государственных органов государств-членов, ответственных за разработку таких актов, или на специально созданных сайтах в информационно-телекоммуникационной сети «Интернет» (далее соответственно - сеть Интернет, сайты) обеспечивается: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а) указание сроков проведения общественного обсуждения проектов нормативных правовых актов (как правило, сроки составляют не менее 30 календарных дней до даты предполагаемого принятия нормативных правовых актов);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б) размещение на сайтах по итогам анализа в соответствии с пунктом 9 настоящих Правил проекта нормативного правового акта информации, подготовленной государственным органом государства- члена, ответственным за разработку этого нормативного правового акта,</w:t>
      </w:r>
      <w:r w:rsidRPr="003737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737C5">
        <w:rPr>
          <w:rFonts w:ascii="Sylfaen" w:hAnsi="Sylfaen"/>
          <w:sz w:val="24"/>
          <w:szCs w:val="24"/>
        </w:rPr>
        <w:t>а также заключений органов, уполномоченных в соответствии с законодательством государства-члена на их подготовку (далее - заключения);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в) доступ всех заинтересованных лиц к размещенным на сайтах проектам нормативных правовых актов и заключениям;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г) возможность направления заинтересованными лицами</w:t>
      </w:r>
      <w:r w:rsidRPr="003737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737C5">
        <w:rPr>
          <w:rFonts w:ascii="Sylfaen" w:hAnsi="Sylfaen"/>
          <w:sz w:val="24"/>
          <w:szCs w:val="24"/>
        </w:rPr>
        <w:t>с использованием сайтов, в письменной форме или посредством электронной почты (по выбору) замечаний, комментариев</w:t>
      </w:r>
      <w:r w:rsidRPr="003737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737C5">
        <w:rPr>
          <w:rFonts w:ascii="Sylfaen" w:hAnsi="Sylfaen"/>
          <w:sz w:val="24"/>
          <w:szCs w:val="24"/>
        </w:rPr>
        <w:t>и предложений по проектам нормативных правовых актов;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д) размещение на сайтах сводной информации о направленных заинтересованными лицами в ходе общественного обсуждения замечаниях, комментариях и предложениях по проектам нормативных правовых актов;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е) информирование на сайтах об учете направленных</w:t>
      </w:r>
      <w:r w:rsidRPr="003737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737C5">
        <w:rPr>
          <w:rFonts w:ascii="Sylfaen" w:hAnsi="Sylfaen"/>
          <w:sz w:val="24"/>
          <w:szCs w:val="24"/>
        </w:rPr>
        <w:t xml:space="preserve">заинтересованными лицами замечаний и предложений по проектам нормативных правовых актов или </w:t>
      </w:r>
      <w:r w:rsidRPr="003737C5">
        <w:rPr>
          <w:rFonts w:ascii="Sylfaen" w:hAnsi="Sylfaen"/>
          <w:sz w:val="24"/>
          <w:szCs w:val="24"/>
        </w:rPr>
        <w:lastRenderedPageBreak/>
        <w:t>основаниях их отклонения.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11. Компетентные органы обеспечивают транспарентность (открытость и доступность) принятых нормативных правовых актов посредством их опубликования в официальных источниках,</w:t>
      </w:r>
      <w:r w:rsidRPr="003737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737C5">
        <w:rPr>
          <w:rFonts w:ascii="Sylfaen" w:hAnsi="Sylfaen"/>
          <w:sz w:val="24"/>
          <w:szCs w:val="24"/>
        </w:rPr>
        <w:t>а по возможности также на сайтах с соблюдением следующих условий: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а) обеспечение для адресатов регулирования возможности ознакомиться с такими актами;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б) опубликование таких актов в срок, обеспечивающий правовую определенность и обоснованные ожидания адресатов регулирования, но в любом случае до даты их вступления в силу (введения в действие);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в) сопровождение опубликования таких актов пояснением целей их принятия и применения.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12. В соответствии с законодательством государств-членов заинтересованным лицам предоставляются разъяснения положений принятых нормативных правовых актов и проектов нормативных правовых актов посредством: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а) создания механизма, обеспечивающего представление ответов в письменной и (или) электронной форме на запросы любых заинтересованных лиц о принятых нормативных правовых актах (их проектах);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б) обеспечения рассмотрения в порядке, установленном для лиц государства-члена, обращений лиц других государств-членов.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13. Регулятивные требования и (или) процедуры, влияющие на условия торговли услугами, учреждения, деятельности и (или) действий в конкретном виде деятельности (сфере деятельности, секторе услуг), могут быть изменены не ранее чем через 1 год после установления действующих регулятивных требований и (или) процедур и только при наличии обоснованной необходимости их изменения.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При изменении действующих регулятивных требований и (или) процедур начало действия таких требований и (или) процедур должно быть установлено в разумные сроки, необходимые лицам государств-членов для подготовки к торговле услугами, учреждению, осуществлению деятельности и (или) действий в соответствии с измененными требованиями и (или) процедурами.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Положения настоящего пункта не распространяются на требования, установленные пунктом 6 статьи 65 Договора о Союзе, а также на требования, установленные международными договорами государств-членов, международными договорами в рамках Союза, решениями органов Союза и актами, направленными на улучшение правового положения адресатов регулирования.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Положения настоящего пункта применяются без ущерба для положений пункта 62 Протокола.</w:t>
      </w:r>
    </w:p>
    <w:p w:rsidR="00225114" w:rsidRDefault="00225114" w:rsidP="0022511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225114" w:rsidRDefault="00225114">
      <w:pPr>
        <w:rPr>
          <w:rFonts w:eastAsia="Times New Roman" w:cs="Times New Roman"/>
          <w:lang w:val="en-US"/>
        </w:rPr>
      </w:pPr>
      <w:r>
        <w:rPr>
          <w:lang w:val="en-US"/>
        </w:rPr>
        <w:br w:type="page"/>
      </w:r>
    </w:p>
    <w:p w:rsidR="00CF3CC2" w:rsidRPr="003737C5" w:rsidRDefault="003737C5" w:rsidP="0022511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lastRenderedPageBreak/>
        <w:t>IV. Разрешительные требования и процедуры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14. Разрешительные требования и (или) процедуры устанавливаются в случае, когда иные меры регулирования являются недостаточными для достижения целей регулирования.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15. Посредством выдачи разрешения компетентный орган подтверждает право заявителя на торговлю услугами, учреждение, деятельность и (или) действия.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16. Разрешительные требования и (или) процедуры не должны создавать неоправданные барьеры (ограничения) для адресатов регулирования при торговле услугами, учреждении, деятельности и (или) действиях. В качестве неоправданных барьеров (ограничений), в частности, признаются следующие: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а) требования, устанавливающие зависимость права адресата регулирования на осуществление деятельности от места его нахождения (места государственной регистрации), места постановки на учет в налоговом органе и т. п. на определенной территории государства- члена, в том числе ограничивающие географические границы деятельности адресата регулирования определенными территориями, за исключением случаев, предусмотренных законодательными актами государства-члена;</w:t>
      </w:r>
    </w:p>
    <w:p w:rsidR="00CF3CC2" w:rsidRPr="003737C5" w:rsidRDefault="003737C5" w:rsidP="002251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б) требования, запрещающие или обязывающие адресата регулирования иметь учреждение более чем в одном регионе или населенном пункте государства-члена либо быть включенным в реестры</w:t>
      </w:r>
      <w:r w:rsidR="00225114" w:rsidRPr="00225114">
        <w:rPr>
          <w:rFonts w:ascii="Sylfaen" w:hAnsi="Sylfaen"/>
          <w:sz w:val="24"/>
          <w:szCs w:val="24"/>
        </w:rPr>
        <w:t xml:space="preserve"> </w:t>
      </w:r>
      <w:r w:rsidRPr="003737C5">
        <w:rPr>
          <w:rFonts w:ascii="Sylfaen" w:hAnsi="Sylfaen"/>
          <w:sz w:val="24"/>
          <w:szCs w:val="24"/>
        </w:rPr>
        <w:t>или зачисленным в профессиональные объединения либо ассоциации более чем в одном регионе государства-члена;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в) требования, ограничивающие адресата регулирования в выборе контрагентов;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г) требования, обязывающие адресата регулирования представить дополнительные документы и сведения, прямо не предусмотренные международными договорами и актами, составляющими право Союза, и законодательством государства-члена, на территории которого осуществляются торговля услугами, учреждение, деятельность и (или) действия;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д) требования, предъявляемые к персоналу адресата регулирования, не обусловленные характером осуществляемой им деятельности;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е) требования, обязывающие адресата регулирования представлять документы, не включенные в перечни документов, размещенные на сайтах компетентных органов в сети Интернет, и (или) документы, составленные по формам, не находящимся в режиме постоянного доступа для адресатов регулирования;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ж) требования, допускающие нечеткость, неоднозначность, различное толкование;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з) идентичные разрешительные требования, предусмотренные 2 и более видами разрешений;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 xml:space="preserve">и) требования, не имеющие в законодательстве государства-члена </w:t>
      </w:r>
      <w:r w:rsidRPr="003737C5">
        <w:rPr>
          <w:rFonts w:ascii="Sylfaen" w:hAnsi="Sylfaen"/>
          <w:sz w:val="24"/>
          <w:szCs w:val="24"/>
        </w:rPr>
        <w:lastRenderedPageBreak/>
        <w:t>соответствующей регламентации порядка их выполнения;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к) требования, не соответствующие целям регулирования и не направленные на обеспечение безопасности и качества поставляемых услуг, а также безопасности осуществляемых деятельности и (или) действий.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17. Законодательством государств-членов устанавливается требование по обеспечению беспрепятственного доступа (в том числе путем размещения на сайте) к информации, включающей в себя в том числе сведения: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а) о компетентном органе, осуществляющем разрешительные процедуры (в том числе его местонахождение, контактные телефоны, адрес электронной почты, график работы);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б) о порядке выполнения разрешительных требований и процедур (перечень требуемых документов, формы заявлений, бланков, сроки рассмотрения заявления и др.);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в) о способах подачи заявления на получение разрешения (лично, через представителя и др.);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г) о формах подачи заявления на получение разрешения (в бумажной и (или) электронной форме);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д) о платежах (сборах, пошлинах), взимаемых в связи с рассмотрением заявления и выдачей разрешения;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е) об основаниях отказа в выдаче разрешения;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ж) о порядке обжалования решения, действия (бездействия) компетентных органов (их должностных лиц);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з) о реестрах и базах (банках) данных содержащих, в том числе информацию о выданных, переоформленных, прекращенных, лишенных (аннулированных), приостановленных, возобновленных разрешениях и их дубликатах, а также разрешениях, срок действия которых продлен или истек.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18. Сумма любых платежей (сборов, пошлин), взимаемых в связи с рассмотрением заявления и выдачей разрешения, устанавливается законодательством государств-членов в соответствии с подпунктом 4 пункта 64 Протокола.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19. В случае если для получения разрешения адресату регулирования необходимо представить компетентному органу документы, подтверждающие соответствие адресата регулирования, его услуг, учреждения, деятельности и (или) действий разрешительным требованиям, то требования к содержанию и форме таких документов (включая их наименование) устанавливаются законодательством государств-членов.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20. Законодательством государств-членов устанавливается возможность получения заявителем разрешения посредством механизма «единого окна».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lastRenderedPageBreak/>
        <w:t>Если для получения разрешения посредством механизма «единого окна» требуется регистрация заявителя в соответствующей государственной информационной системе, возможность такой регистрации обеспечивается на недискриминационной основе.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21. При обращении заявителя в компетентный орган за получением разрешения не требуется: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а) представление документов, если такие документы и иная необходимая информация имеются у этого компетентного органа или могут быть им получены в соответствии с нормативными правовыми актами государства-члена у иных компетентных органов в сроки, обеспечивающие своевременную выдачу разрешения заявителю;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б) нотариальное заверение представленных копий документов при условии предъявления заявителем оригиналов документов, за исключением случаев, предусмотренных законодательными актами, регулирующими правоотношения в определенных сферах.</w:t>
      </w:r>
    </w:p>
    <w:p w:rsidR="00CF3CC2" w:rsidRPr="003737C5" w:rsidRDefault="003737C5" w:rsidP="002251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22. Законодательством государств-членов устанавливается требование по обеспечению заявителям надлежащих условий для подачи</w:t>
      </w:r>
      <w:r w:rsidR="00225114" w:rsidRPr="00225114">
        <w:rPr>
          <w:rFonts w:ascii="Sylfaen" w:hAnsi="Sylfaen"/>
          <w:sz w:val="24"/>
          <w:szCs w:val="24"/>
        </w:rPr>
        <w:t xml:space="preserve"> </w:t>
      </w:r>
      <w:r w:rsidRPr="003737C5">
        <w:rPr>
          <w:rFonts w:ascii="Sylfaen" w:hAnsi="Sylfaen"/>
          <w:sz w:val="24"/>
          <w:szCs w:val="24"/>
        </w:rPr>
        <w:t>заявления (с приложением необходимых документов) и получения разрешения, в том числе: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а) организация места подачи заявления и получения разрешения и размещение в доступном месте информации о порядке и условиях осуществления соответствующей разрешительной процедуры;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б) бесперебойное функционирование электронных порталов (при их наличии), официальных сайтов в сети Интернет, электронной почты, контактных телефонов и др.;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в) предоставление необходимой информации, включая бесплатные консультации о разрешительных требованиях и процедурах, в том числе о порядке подачи и форме документов, прилагаемых к заявлению;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г) размещение в сети Интернет в открытом доступе на безвозмездной основе и (или) предоставление в иной форме информации о банковских реквизитах для оплаты платежей (сборов, пошлин), взимаемых за выдачу разрешения;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д) предоставление информации о порядке обжалования решений, действий (бездействия) компетентных органов (их должностных лиц);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е) информирование компетентным органом по запросу заявителя о ходе рассмотрения его заявления.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23. В случае если в связи с ограниченностью природных ресурсов или технических мощностей количество разрешений на определенный вид деятельности и (или) действий ограничено, применяется конкурсная, аукционная либо иная форма отбора заявителей.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 xml:space="preserve">Такая процедура должна быть прозрачной и беспристрастной и соответствовать </w:t>
      </w:r>
      <w:r w:rsidRPr="003737C5">
        <w:rPr>
          <w:rFonts w:ascii="Sylfaen" w:hAnsi="Sylfaen"/>
          <w:sz w:val="24"/>
          <w:szCs w:val="24"/>
        </w:rPr>
        <w:lastRenderedPageBreak/>
        <w:t>Протоколу и настоящим Правилам.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24. Информация о принятом компетентным органом решении в отношении адресата регулирования доводится компетентным органом</w:t>
      </w:r>
      <w:r w:rsidRPr="003737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737C5">
        <w:rPr>
          <w:rFonts w:ascii="Sylfaen" w:hAnsi="Sylfaen"/>
          <w:sz w:val="24"/>
          <w:szCs w:val="24"/>
        </w:rPr>
        <w:t>до сведения адресата регулирования в срок и порядке, установленные законодательством государства-члена, в соответствии с разделом XV Договора о Союзе, при этом в случае отказа в выдаче разрешения (его дубликата), приостановления, прекращения, лишения (аннулирования), отказа в переоформлении разрешения или продлении срока его действия такая информация содержит обоснование решения принятого компетентным органом (со ссылками на нормы законодательства государства-члена и (или) положения международных договоров и актов, составляющих право Союза).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В решении об отказе в выдаче, переоформлении, продлении срока действия или о лишении (аннулировании) разрешения либо о приостановлении его действия также дается разъяснение права на его обжалование (в том числе в судебном порядке).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25. Законодательством государств-членов устанавливается обязанность компетентных органов проверять полноту комплекта представленных заявителем для получения разрешения документов в кратчайший срок, но не более 3 рабочих дней со дня получения таких документов от заявителя.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В случае если комплект документов, установленный законодательством государства-члена, заявителем представлен не в полном объеме, компетентный орган не позднее срока, указанного в абзаце первом настоящего пункта, направляет или выдает заявителю уведомление о необходимости представления отсутствующих документов в определенные в нем сроки.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Срок рассмотрения заявления приостанавливается со дня направления указанного уведомления и возобновляется в день представления заявителем полного комплекта документов, установленного законодательством государства-члена. В случае</w:t>
      </w:r>
      <w:r w:rsidRPr="003737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737C5">
        <w:rPr>
          <w:rFonts w:ascii="Sylfaen" w:hAnsi="Sylfaen"/>
          <w:sz w:val="24"/>
          <w:szCs w:val="24"/>
        </w:rPr>
        <w:t>непредставления отсутствующих документов в определенные в уведомлении сроки, заявителю может быть отказано в дальнейшем рассмотрении заявления по причине его ненадлежащего оформления. В случае если законодательством государств-членов не предусмотрена процедура приостановления, указанная в настоящем абзаце, то компетентный орган вправе принять мотивированное решение об отказе в приеме заявления с соблюдением положений абзацев 1 и 2 настоящего пункта.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Указанное заявление не считается оформленным надлежащим образом до тех пор, пока не будут получены все документы и (или) сведения в соответствии с требованиями законодательства государства-члена.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В любом случае заявителю должна быть предоставлена возможность внести в заявление технические исправления.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 xml:space="preserve">26. В случае если компетентный орган в установленный срок не выдал заявителю разрешение (его дубликат) либо не представил мотивированный отказ в его выдаче, заявитель с даты истечения срока выдачи разрешения (его дубликата) </w:t>
      </w:r>
      <w:r w:rsidRPr="003737C5">
        <w:rPr>
          <w:rFonts w:ascii="Sylfaen" w:hAnsi="Sylfaen"/>
          <w:sz w:val="24"/>
          <w:szCs w:val="24"/>
        </w:rPr>
        <w:lastRenderedPageBreak/>
        <w:t>разрешение (его дубликат) приобретает право на деятельность и (или) действия, на осуществление которых заявитель подавал заявление, за исключением разрешений на поставку отдельных видов услуг, осуществления отдельных видов деятельности и (или) действий, перечень которых установлен законодательными актами, регулирующими правоотношения в определенных сферах, принимаемыми в целях обеспечения обороны или национальной безопасности.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Положения абзаца первого настоящего пункта распространяются также на случаи, когда адресату регулирования необходимо направить заявление на продление действия разрешения.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Государства-члены в течение трех лет с момента вступления в силу настоящих Правил осуществляют поэтапное включение в свои нормативные правовые акты норм, обеспечивающих реализацию положений настоящего пункта.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27. Исчерпывающий перечень оснований для отказа в выдаче разрешения, для лишения (аннулирования) разрешения, приостановления, продления срока его действия устанавливается законодательными актами, регулирующими правоотношения в определенных сферах.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28. Разрешение действует на всей указанной в таком разрешении территории государства-члена.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В секторах (подсекторах) услуг, в которых в соответствии с решением Высшего Евразийского экономического совета функционирует единый рынок услуг, разрешения на поставку услуг признаются без подтверждения и действуют на территориях государств- членов.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29. Выдаваемое разрешение на осуществление деятельности не должно иметь ограниченного срока действия, за исключением следующих случаев: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а) количество разрешений либо срок действия разрешения ограничены в целях защиты общественной морали, поддержания общественного порядка, национальной безопасности, защиты жизни или здоровья людей, животных и растений, охраны окружающей среды, а также в связи с ограниченностью природных ресурсов или технических мощностей;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б) разрешение выдается на осуществление деятельности в особых (специальных) экономических зонах или на определенной законодательством государства-члена территории этого государства.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30. При изменении формы и (или) наименования разрешения, наименования вида (подвида) деятельности, разрешительной процедуры, наименования компетентного органа, выдавшего разрешение, при изменении законодательства без существенного изменения содержания разрешительных требований (не влияющего на цели регулирования, в том числе не затрагивающего права и законные интересы потребителей, добросовестных субъектов рынка, а также общественные (государственные) интересы), ранее выданные разрешения (их дубликаты) и документы сохраняют свое действие до истечения срока, на который они выданы.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lastRenderedPageBreak/>
        <w:t>Исчерпывающий перечень оснований для переоформления разрешения устанавливается законодательными актами, регулирующими правоотношения в определенных сферах.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31. Законодательством государств-членов устанавливается единый перечень разрешений на поставку услуг, учреждение, осуществление деятельности и (или) действий.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Законодательством государств-членов предусматривается установление запрета на выдачу и требование разрешений, не предусмотренных указанным перечнем.</w:t>
      </w:r>
    </w:p>
    <w:p w:rsidR="00225114" w:rsidRDefault="00225114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CF3CC2" w:rsidRPr="003737C5" w:rsidRDefault="003737C5" w:rsidP="0022511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V. Уведомительные (заявительные) процедуры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32. Регулирование может осуществляться посредством уведомительной (заявительной) процедуры, которая предусматривает обязанность заявителя до начала торговли услугами, осуществления деятельности и (или) действий уведомить компетентный орган об этом в порядке, установленном законодательством государства-члена.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Посредством уведомительной (заявительной) процедуры заявитель информирует компетентный орган о своем соответствии требованиям, установленным законодательством государства-члена,</w:t>
      </w:r>
      <w:r w:rsidRPr="003737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737C5">
        <w:rPr>
          <w:rFonts w:ascii="Sylfaen" w:hAnsi="Sylfaen"/>
          <w:sz w:val="24"/>
          <w:szCs w:val="24"/>
        </w:rPr>
        <w:t>к торговле услугами, осуществлению деятельности и (или) действий, в отношении которых введена уведомительная (заявительная) процедура.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33. Законодательством государств-членов устанавливается единый перечень видов услуг, деятельности и (или) действий, в отношении которых введена уведомительная (заявительная) процедура.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Законодательством государств-членов предусматривается установление запрета на применение уведомительной (заявительной) процедуры в отношении видов услуг, деятельности и (или) действий, не предусмотренных указанным перечнем.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34. При регулировании посредством уведомительной (заявительной) процедуры заявителю должно предоставляться право на торговлю услугами, деятельность и (или) действия со дня направления соответствующего уведомления (заявления, извещения и т. п.) в компетентный орган нарочным, заказным почтовым отправлением с уведомлением о вручении либо в виде электронного документа, подписанного электронной цифровой подписью заявителя либо со дня его получения компетентным органом.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35. Компетентный орган не должен требовать от адресатов регулирования представления документов и сведений, прямо не предусмотренных законодательством государства-члена, регулирующим порядок осуществления уведомительной (заявительной) процедуры.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36. Законодательством государств-членов устанавливаются правила осуществления уведомительной (заявительной) процедуры, включая: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lastRenderedPageBreak/>
        <w:t>а) порядок направления уведомления (заявления, извещения и т. п.) о начале торговли услугами, осуществления деятельности и (или) действий (в том числе уведомления (заявления, извещения и т. п.) в электронной форме);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б) порядок ведения реестра уведомлений (заявлений, извещений и т. п.) (далее - реестр), предусматривающий: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включение в реестр сведений, содержащихся в уведомлениях (заявлениях, извещениях и т. п.), в день их получения;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исключение уведомления (заявления, извещения и т. п.) из реестра по заявлению адресата регулирования (в отношении своего уведомления (заявления, извещения и т. п.)) или по решению суда о запрещении торговли услугами, осуществления деятельности и (или) действий адресатом регулирования;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получение компетентным органом информации об уведомлениях (заявлениях, извещениях и т. п.), содержащейся в реестре, без истребования подтверждения таких сведений от адресатов регулирования;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открытость и беспрепятственный доступ к сведениям, содержащимся в реестре.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37. При введении уведомительной (заявительной) процедуры в отношении конкретного вида услуг, деятельности и (или) действий взамен разрешительной процедуры адресат регулирования, у которого на момент введения уведомительной (заявительной) процедуры было действительное разрешение на поставку услуг, осуществление деятельности и (или) действий, считается направившим уведомление (заявление, извещение и т. п.), которое автоматически включается компетентным органом в реестр.</w:t>
      </w:r>
    </w:p>
    <w:p w:rsidR="00225114" w:rsidRDefault="00225114" w:rsidP="0022511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CF3CC2" w:rsidRPr="003737C5" w:rsidRDefault="003737C5" w:rsidP="0022511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VI. Требования к профессиональной квалификации физического лица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38. В законодательстве государств-членов к физическим лицам в отношении поставки отдельных видов услуг, осуществления деятельности и (или) действий могут устанавливаться следующие требования к профессиональной квалификации: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наличие соответствующего образования;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сдача профессиональных экзаменов (тестирование, интервью</w:t>
      </w:r>
      <w:r w:rsidRPr="003737C5">
        <w:rPr>
          <w:rFonts w:ascii="Sylfaen" w:hAnsi="Sylfaen"/>
          <w:sz w:val="24"/>
          <w:szCs w:val="24"/>
          <w:lang w:eastAsia="en-US" w:bidi="en-US"/>
        </w:rPr>
        <w:t xml:space="preserve"> </w:t>
      </w:r>
      <w:bookmarkStart w:id="3" w:name="bookmark4"/>
      <w:r w:rsidRPr="003737C5">
        <w:rPr>
          <w:rStyle w:val="Heading12"/>
          <w:rFonts w:ascii="Sylfaen" w:hAnsi="Sylfaen"/>
          <w:sz w:val="24"/>
          <w:szCs w:val="24"/>
        </w:rPr>
        <w:t>и др.);</w:t>
      </w:r>
      <w:bookmarkEnd w:id="3"/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наличие практического опыта в определенной сфере;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языковые навыки;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иные требования.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Такие требования должны быть обоснованными и предъявляться лишь в той мере, в какой они необходимы для подтверждения компетентности физического лица в поставке заявленных услуг, осуществлении заявленной деятельности и (или) действий.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39. В качестве требований к профессиональной квалификации, предъявляемых к физическому лицу, выполняющему работу в рамках трудового или гражданско-</w:t>
      </w:r>
      <w:r w:rsidRPr="003737C5">
        <w:rPr>
          <w:rFonts w:ascii="Sylfaen" w:hAnsi="Sylfaen"/>
          <w:sz w:val="24"/>
          <w:szCs w:val="24"/>
        </w:rPr>
        <w:lastRenderedPageBreak/>
        <w:t>правового договора (не в качестве индивидуального предпринимателя), не могут устанавливаться следующие требования: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а) участие в торговле услугами, осуществлении деятельности и (или) действий на определенной территории (определенном месте);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б) наличие определенного помещения или специального оборудования;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в) участие в торговле только одним видом услуг, осуществление исключительно одних и тех же действий (операций), в случае если</w:t>
      </w:r>
      <w:r w:rsidRPr="003737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737C5">
        <w:rPr>
          <w:rFonts w:ascii="Sylfaen" w:hAnsi="Sylfaen"/>
          <w:sz w:val="24"/>
          <w:szCs w:val="24"/>
        </w:rPr>
        <w:t>физическое лицо способно самостоятельно оказывать несколько услуг (их составляющих), охваченных разными секторами (подсекторами) услуг, или осуществлять несколько действий (операций), охваченных разными видами деятельности, при наличии необходимой профессиональной квалификации.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40. В законодательстве государств-членов устанавливается, что решение о допуске к сдаче профессионального экзамена (тестирование, интервью и др.) для подтверждения профессиональной квалификации физического лица принимается на непредвзятой основе в течение разумного срока и направляется заявителю, как правило, не позднее 1 месяца с даты подачи физическим лицом соответствующего заявления.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Сдача такого экзамена (тестирование, интервью и др.) должна обеспечиваться на непредвзятой основе в течение разумного срока, как правило, не позднее 1 месяца с даты направления заявителю решения о допуске к сдаче профессионального экзамена (тестирование, интервью и др.).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В случае если законодательством государств-членов предусмотрен срок для пересдачи профессионального экзамена (тестирования, интервью и др.) для лиц, не сдавших такой экзамен, возможность повторной пересдачи обеспечивается в течение разумного срока, как правило, не позднее 3 месяцев с даты вынесения решения о несдаче профессионального экзамена.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41. В случае если подтверждение профессиональной квалификации физических лиц проводится экзаменационной, аттестационной и (или) другой комиссией, должна быть обеспечена беспристрастность, объективность, компетентность и независимость членов такой комиссии.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42. В случае если законодательством государств-членов предусмотрено последующее периодическое (регулярное)</w:t>
      </w:r>
      <w:r w:rsidRPr="003737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737C5">
        <w:rPr>
          <w:rFonts w:ascii="Sylfaen" w:hAnsi="Sylfaen"/>
          <w:sz w:val="24"/>
          <w:szCs w:val="24"/>
        </w:rPr>
        <w:t>переподтверждение профессиональной квалификации физического лица, испытание на переподтверждение профессиональной квалификации физического лица должно проводиться в разумный срок, но не ранее чем через 1 год с даты проведения предыдущего испытания на подтверждение профессиональной квалификации.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 xml:space="preserve">43. При изменении наименования профессии, специальности, должности физического лица без существенного изменения требований к профессиональной квалификации (не влияющего на цели регулирования, в том числе не затрагивающих права и законные интересы потребителей, добросовестных субъектов рынка, а также </w:t>
      </w:r>
      <w:r w:rsidRPr="003737C5">
        <w:rPr>
          <w:rFonts w:ascii="Sylfaen" w:hAnsi="Sylfaen"/>
          <w:sz w:val="24"/>
          <w:szCs w:val="24"/>
        </w:rPr>
        <w:lastRenderedPageBreak/>
        <w:t>общественные (государственные) интересы) не требуется повторного подтверждения профессиональной квалификации физического лица.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44. В целях регулирования допуска физических лиц к учреждению, торговле услугами, осуществлению деятельности и (или) действий: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а) в случае если признание документов, подтверждающих профессиональную квалификацию физического лица (опыт и стаж работы, прохождение курсов переподготовки, переобучения и т. п.), осуществляется с прохождением процедур признания, законодательством государств-членов устанавливается порядок такого признания, если иное не предусмотрено международными договорами государств-членов, международными договорами в рамках Союза (применяется без ущерба для положений пунктов 27 и 29 Протокола);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б) без прохождения процедур признания признаются следующие документы:</w:t>
      </w:r>
    </w:p>
    <w:p w:rsidR="00CF3CC2" w:rsidRPr="003737C5" w:rsidRDefault="003737C5" w:rsidP="002251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документы, подтверждающие профессиональную квалификацию физического лица (опыт и стаж работы, прохождение курсов</w:t>
      </w:r>
      <w:r w:rsidR="00225114" w:rsidRPr="00225114">
        <w:rPr>
          <w:rFonts w:ascii="Sylfaen" w:hAnsi="Sylfaen"/>
          <w:sz w:val="24"/>
          <w:szCs w:val="24"/>
        </w:rPr>
        <w:t xml:space="preserve"> </w:t>
      </w:r>
      <w:r w:rsidRPr="003737C5">
        <w:rPr>
          <w:rFonts w:ascii="Sylfaen" w:hAnsi="Sylfaen"/>
          <w:sz w:val="24"/>
          <w:szCs w:val="24"/>
        </w:rPr>
        <w:t>переподготовки, переобучения и т. п.), в секторах (подсекторах) услуг, в которых функционирует единый рынок услуг;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документы об образовании, выданные в другом государстве-члене (за исключением случаев, предусмотренных статьей 97 Договора о Союзе).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45. В законодательстве государств-членов к физическим лицам в отношении поставки отдельных видов услуг, осуществления деятельности и (или) действий может устанавливаться требование по страхованию профессиональной ответственности.</w:t>
      </w:r>
    </w:p>
    <w:p w:rsidR="00225114" w:rsidRDefault="00225114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CF3CC2" w:rsidRPr="003737C5" w:rsidRDefault="003737C5" w:rsidP="0022511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VII. Контрольные (надзорные) процедуры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46. Для достижения целей регулирования, установленных Договором о Союзе, иными международными договорами и актами, составляющими право Союза, законодательством государств-членов, в том числе для обеспечения безопасности и качества поставляемых услуг, безопасности деятельности и (или) действий, законодательством государств-членов определяются компетентные органы, уполномоченные на осуществление контрольных (надзорных) процедур, и устанавливается порядок проведения контрольных (надзорных) процедур.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47. Посредством контрольных (надзорных) процедур компетентные органы осуществляют проверку соблюдения адресатами регулирования регулятивных требований.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48. Эффективность контрольных (надзорных) процедур обеспечивается посредством: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а) внедрения системы оценки рисков (управления рисками) и ее автоматизации;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б) четкой правовой регламентации контрольных (надзорных) процедур;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lastRenderedPageBreak/>
        <w:t>в) законодательного закрепления гарантий прав адресатов регулирования.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49. Система оценки рисков (управления рисками) предусматривает: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а) определение объектов, направлений, форм, объема (полноты) и периодичности проведения контрольных (надзорных) процедур, в том числе на основе следующих характеристик адресатов регулирования: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степень опасности вида деятельности и (или) действий, и (или) объекта;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количество, виды и характер выявленных ранее нарушений;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количество обращений потребителей товаров, получателей услуг о совершении грубых нарушений (с подтверждением фактов таких нарушений);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б) составление, согласование, утверждение и реализацию планов (графиков) проведения контрольных (надзорных) процедур на основании оценки степени риска (с учетом установленных критериев отнесения адресатов регулирования к группам риска), анализа степени риска причинения ущерба (вреда), анализа характеристик и оценки вероятности нарушений обязательных требований с целью снижения в дальнейшем количества контрольных (надзорных) процедур пропорционально степени риска;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в) дифференциацию объема (полноты) и частоты проведения контрольных (надзорных) процедур в зависимости от степени опасности вида деятельности и (или) действий, и (или) объекта адресатов регулирования и добросовестности их поведения.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50. Законодательством государств-членов устанавливается регламентация контрольных (надзорных) процедур, включая в том числе: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а) принципы проведения контрольных (надзорных) процедур;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б) систему оценки рисков (управления рисками);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в) условия и процедуры организации и проведения контрольных (надзорных) процедур;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г) виды деятельности и (или) действий, относящиеся к разным степеням риска;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д) критерии оценки степени риска для определенного вида деятельности и (или) действий;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е) порядок обжалования действий (бездействия) компетентных органов (их должностных лиц) при организации и проведении контрольных (надзорных) процедур и порядок возмещения ущерба (вреда), причиненного адресатам регулирования;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ж) периодичность проведения контрольных (надзорных) процедур и предельные сроки их проведения;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з) использование компетентными органами перечня вопросов, подлежащих проверке (проверочные листы, чек-листы, предписания и другие документы);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lastRenderedPageBreak/>
        <w:t>и) обязательную отчетность компетентных органов, в том числе о количестве проверенных адресатов регулирования, выявленных нарушениях, размере причиненного ущерба (вреда), привлеченных к ответственности адресатах регулирования, количестве отмененных решений о привлечении к ответственности адресатов регулирования и признанных незаконными актов компетентных органов.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51. В целях обеспечения гарантий прав адресатов регулирования при организации и проведении контрольных (надзорных) процедур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законодательством государств-членов предусматриваются следующие положения: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а) недопустимость проведения в отношении одного и того же адресата регулирования несколькими компетентными органами контрольных (надзорных) процедур исполнения (соблюдения) одних и тех же обязательных требований;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б) проведение компетентным органом контрольных (надзорных) процедур на основании документа о назначении проведения таких процедур, санкционированного уполномоченным в соответствии с законодательством государства-члена органом;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в) направление в разумные сроки, устанавливаемые законодательством государства-члена, адресату регулирования извещения (в письменном или ином виде) о начале проведения плановых проверок (в случае проведения плановых проверок), за исключением случаев, установленных налоговым законодательством государства- члена;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г) обязательность соблюдения предельных сроков проверок, устанавливаемых законодательством государства-члена;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д) недопустимость проверки выполнения требований и процедур, которые не установлены законодательством государства- члена;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е) ответственность должностных лиц компетентных органов в случае неисполнения и (или) ненадлежащего исполнения ими своих обязанностей и нарушения ими прав адресатов регулирования.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52. Для обеспечения эффективности проведения контрольных (надзорных) процедур, в том числе для обмена информацией между государствами-членами, компетентные органы заключают соглашения, предусматривающие: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а) возможность оперативного обмена информацией между компетентными органами государств-членов в отношении конкретных адресатов регулирования;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б) создание механизма предупреждения нарушения адресатами регулирования прав и законных интересов потребителей, получателей услуг, добросовестных адресатов регулирования, а также интересов государств-членов.</w:t>
      </w:r>
    </w:p>
    <w:p w:rsidR="00D27A96" w:rsidRDefault="00D27A96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D27A96" w:rsidRDefault="00D27A96">
      <w:pPr>
        <w:rPr>
          <w:rFonts w:eastAsia="Times New Roman" w:cs="Times New Roman"/>
          <w:lang w:val="en-US"/>
        </w:rPr>
      </w:pPr>
      <w:r>
        <w:rPr>
          <w:lang w:val="en-US"/>
        </w:rPr>
        <w:br w:type="page"/>
      </w:r>
    </w:p>
    <w:p w:rsidR="00CF3CC2" w:rsidRPr="003737C5" w:rsidRDefault="003737C5" w:rsidP="00D27A96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lastRenderedPageBreak/>
        <w:t>VIII. Совершенствование регулятивных требований и процедур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53. Законодательством государств-членов устанавливается порядок проведения оценки последствий фактического воздействия нормативных правовых актов на адресатов регулирования.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Такая оценка проводится уполномоченным в соответствии с законодательством государства-члена органом не реже 1 раза в 3 года.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54. Оценка последствий фактического воздействия нормативных правовых актов на адресатов регулирования проводится для установления достижения заявленных целей регулирования и принятия нормативного правового акта, а также в случае выявления избыточных, неэффективных регулятивных требований и (или) процедур для их последующего упрощения и (или) упразднения. Избыточными, неэффективными регулятивными требованиями и (или) процедурами являются в том числе: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а) неоднозначные регулятивные требования и (или) процедуры;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б) не соответствующие требованиям законодательства государства- члена регулятивные требования и (или) процедуры;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в) невостребованные регулятивные требования и (или) процедуры, фактически не применяемые компетентными органами;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г) регулятивные требования и (или) процедуры, не соответствующие установленным законодательством государства- члена целям регулирования в определенной отрасли, сфере, в том числе требованиям к безопасности осуществления деятельности, а также требованиям к безопасности и качеству поставляемой услуги;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д) регулятивные требования и (или) процедуры, дублируемые в рамках полномочий разных компетентных органов, разных уровней одного компетентного органа, иных лиц и организаций при осуществлении делегированных им полномочий;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е) регулятивные требования и (или) процедуры, не реализуемые в связи с недостаточностью кадровых, временных и материальных ресурсов компетентных органов для предусмотренного законодательством государства-члена регулирования;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ж) требования, не обеспечивающие достижение установленных законодательством государства-члена целей регулирования, в том числе имеющие формальный характер;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з) требования, в отношении которых определена необходимость и существует возможность замены более эффективным вариантом регулирования по сравнению с действующим регулированием;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 xml:space="preserve">и) меры воздействия, применяемые в отношении лиц государств- членов, несоразмерные с характером правонарушения, в том числе с тяжестью наступивших </w:t>
      </w:r>
      <w:r w:rsidRPr="003737C5">
        <w:rPr>
          <w:rFonts w:ascii="Sylfaen" w:hAnsi="Sylfaen"/>
          <w:sz w:val="24"/>
          <w:szCs w:val="24"/>
        </w:rPr>
        <w:lastRenderedPageBreak/>
        <w:t>или предотвращенных вредных последствий, размером причиненного, добровольно возмещенного или устраненного вреда либо иными обстоятельствами.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55. По результатам оценки последствий фактического воздействия нормативных правовых актов на адресатов регулирования</w:t>
      </w:r>
      <w:r w:rsidRPr="003737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737C5">
        <w:rPr>
          <w:rFonts w:ascii="Sylfaen" w:hAnsi="Sylfaen"/>
          <w:sz w:val="24"/>
          <w:szCs w:val="24"/>
        </w:rPr>
        <w:t>в зависимости от эффективности регулятивных требований и (или) процедур избыточные, неэффективные регулятивные требования и (или) процедуры подлежат отмене либо при условии неухудшения правового положения адресата регулирования изменению из одного вида (саморегулирование, лицензирование, уведомление, сертификация, аттестация, аккредитация и т. п.) в другой.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56. При проведении оценки последствий фактического воздействия нормативных правовых актов на адресатов регулирования в соответствии с установленным законодательством государств-членов порядком используется наилучшая международная практика регулирования (в том числе международные стандарты), а в случае ее отсутствия - наиболее прогрессивные модели регулирования государств-членов.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57. Комиссия разрабатывает рекомендации по применению наилучшей международной практики регулирования (в том числе международных стандартов) и наиболее прогрессивных моделей регулирования государств-членов.</w:t>
      </w:r>
    </w:p>
    <w:p w:rsidR="00D27A96" w:rsidRDefault="00D27A96" w:rsidP="00D27A96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CF3CC2" w:rsidRPr="003737C5" w:rsidRDefault="003737C5" w:rsidP="00D27A96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IX. Заключительные положения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58. Государства-члены в целях повышения качества услуг и безопасности деятельности и (или) действий, осуществляемой адресатами регулирования, вправе делегировать полномочия по оценке компетентности адресатов регулирования соответствующим профессиональным объединениям, торгово-промышленным палатам.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59. Положения настоящих Правил применяются Комиссией в рамках полномочий, предусмотренных Договором о Союзе, иными международными договорами и актами, составляющими право Союза.</w:t>
      </w:r>
    </w:p>
    <w:p w:rsidR="003737C5" w:rsidRDefault="003737C5">
      <w:pPr>
        <w:rPr>
          <w:rFonts w:eastAsia="Times New Roman" w:cs="Times New Roman"/>
        </w:rPr>
      </w:pPr>
      <w:r>
        <w:br w:type="page"/>
      </w:r>
    </w:p>
    <w:p w:rsidR="00CF3CC2" w:rsidRPr="003737C5" w:rsidRDefault="003737C5" w:rsidP="00D27A96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lastRenderedPageBreak/>
        <w:t>ПРИЛОЖЕНИЕ</w:t>
      </w:r>
    </w:p>
    <w:p w:rsidR="00CF3CC2" w:rsidRPr="003737C5" w:rsidRDefault="003737C5" w:rsidP="00D27A96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к Правилам регулирования торговли услугами, учреждения и деятельности</w:t>
      </w:r>
    </w:p>
    <w:p w:rsidR="00D27A96" w:rsidRDefault="00D27A96" w:rsidP="003737C5">
      <w:pPr>
        <w:pStyle w:val="Heading30"/>
        <w:keepNext/>
        <w:keepLines/>
        <w:shd w:val="clear" w:color="auto" w:fill="auto"/>
        <w:spacing w:before="0" w:after="120" w:line="240" w:lineRule="auto"/>
        <w:rPr>
          <w:rStyle w:val="Heading3Spacing1pt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4" w:name="bookmark5"/>
    </w:p>
    <w:p w:rsidR="00CF3CC2" w:rsidRPr="003737C5" w:rsidRDefault="003737C5" w:rsidP="003737C5">
      <w:pPr>
        <w:pStyle w:val="Heading30"/>
        <w:keepNext/>
        <w:keepLines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3737C5">
        <w:rPr>
          <w:rStyle w:val="Heading3Spacing1pt"/>
          <w:rFonts w:ascii="Sylfaen" w:hAnsi="Sylfaen"/>
          <w:b/>
          <w:bCs/>
          <w:spacing w:val="0"/>
          <w:sz w:val="24"/>
          <w:szCs w:val="24"/>
        </w:rPr>
        <w:t>ПЕРЕЧЕНЬ</w:t>
      </w:r>
      <w:bookmarkEnd w:id="4"/>
    </w:p>
    <w:p w:rsidR="00CF3CC2" w:rsidRPr="003737C5" w:rsidRDefault="003737C5" w:rsidP="00D27A96">
      <w:pPr>
        <w:pStyle w:val="Bodytext30"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международных стандартов международных организаций,</w:t>
      </w:r>
      <w:r w:rsidR="00D27A96" w:rsidRPr="00D27A96">
        <w:rPr>
          <w:rFonts w:ascii="Sylfaen" w:hAnsi="Sylfaen"/>
          <w:sz w:val="24"/>
          <w:szCs w:val="24"/>
        </w:rPr>
        <w:t xml:space="preserve"> </w:t>
      </w:r>
      <w:r w:rsidRPr="003737C5">
        <w:rPr>
          <w:rFonts w:ascii="Sylfaen" w:hAnsi="Sylfaen"/>
          <w:sz w:val="24"/>
          <w:szCs w:val="24"/>
        </w:rPr>
        <w:t>членство в которых открыто для всех государств - членов Евразийского экономического союза</w:t>
      </w:r>
    </w:p>
    <w:p w:rsidR="00D27A96" w:rsidRDefault="00D27A96" w:rsidP="003737C5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</w:p>
    <w:p w:rsidR="00CF3CC2" w:rsidRPr="003737C5" w:rsidRDefault="003737C5" w:rsidP="00D27A96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I. Организация экономического сотрудничества и развития (ОЭСР)</w:t>
      </w:r>
    </w:p>
    <w:p w:rsidR="00CF3CC2" w:rsidRPr="003737C5" w:rsidRDefault="00D27A96" w:rsidP="00D27A9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>1.</w:t>
      </w:r>
      <w:r w:rsidR="003737C5" w:rsidRPr="003737C5">
        <w:rPr>
          <w:rFonts w:ascii="Sylfaen" w:hAnsi="Sylfaen"/>
          <w:sz w:val="24"/>
          <w:szCs w:val="24"/>
        </w:rPr>
        <w:t xml:space="preserve"> Управление регуляторов. Принципы ОЭСР в сфере регуляторной политики, основанные на передовой практике </w:t>
      </w:r>
      <w:r w:rsidR="003737C5" w:rsidRPr="003737C5">
        <w:rPr>
          <w:rFonts w:ascii="Sylfaen" w:hAnsi="Sylfaen"/>
          <w:sz w:val="24"/>
          <w:szCs w:val="24"/>
          <w:lang w:eastAsia="en-US" w:bidi="en-US"/>
        </w:rPr>
        <w:t>(</w:t>
      </w:r>
      <w:r w:rsidR="003737C5" w:rsidRPr="003737C5">
        <w:rPr>
          <w:rFonts w:ascii="Sylfaen" w:hAnsi="Sylfaen"/>
          <w:sz w:val="24"/>
          <w:szCs w:val="24"/>
          <w:lang w:val="en-US" w:eastAsia="en-US" w:bidi="en-US"/>
        </w:rPr>
        <w:t>OECD</w:t>
      </w:r>
      <w:r w:rsidR="003737C5" w:rsidRPr="003737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3737C5" w:rsidRPr="003737C5">
        <w:rPr>
          <w:rFonts w:ascii="Sylfaen" w:hAnsi="Sylfaen"/>
          <w:sz w:val="24"/>
          <w:szCs w:val="24"/>
        </w:rPr>
        <w:t>(2014)).</w:t>
      </w:r>
    </w:p>
    <w:p w:rsidR="00CF3CC2" w:rsidRPr="003737C5" w:rsidRDefault="003737C5" w:rsidP="00D27A9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2. Рекомендации (инструменты) совета ОЭСР по вопросам регуляторной политики и государственного управления (С(2012)37).</w:t>
      </w:r>
    </w:p>
    <w:p w:rsidR="00CF3CC2" w:rsidRPr="003737C5" w:rsidRDefault="003737C5" w:rsidP="00D27A9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 xml:space="preserve">3. Руководящие принципы для качества регулирования и исполнения ОЭСР </w:t>
      </w:r>
      <w:r w:rsidRPr="003737C5">
        <w:rPr>
          <w:rFonts w:ascii="Sylfaen" w:hAnsi="Sylfaen"/>
          <w:sz w:val="24"/>
          <w:szCs w:val="24"/>
          <w:lang w:eastAsia="en-US" w:bidi="en-US"/>
        </w:rPr>
        <w:t>(</w:t>
      </w:r>
      <w:r w:rsidRPr="003737C5">
        <w:rPr>
          <w:rFonts w:ascii="Sylfaen" w:hAnsi="Sylfaen"/>
          <w:sz w:val="24"/>
          <w:szCs w:val="24"/>
          <w:lang w:val="en-US" w:eastAsia="en-US" w:bidi="en-US"/>
        </w:rPr>
        <w:t>OECD</w:t>
      </w:r>
      <w:r w:rsidRPr="003737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737C5">
        <w:rPr>
          <w:rFonts w:ascii="Sylfaen" w:hAnsi="Sylfaen"/>
          <w:sz w:val="24"/>
          <w:szCs w:val="24"/>
        </w:rPr>
        <w:t>(2005)).</w:t>
      </w:r>
    </w:p>
    <w:p w:rsidR="00CF3CC2" w:rsidRPr="003737C5" w:rsidRDefault="003737C5" w:rsidP="00D27A9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 xml:space="preserve">4. Совершенствование регуляторных инструментов с помощью оценки воздействия </w:t>
      </w:r>
      <w:r w:rsidRPr="003737C5">
        <w:rPr>
          <w:rFonts w:ascii="Sylfaen" w:hAnsi="Sylfaen"/>
          <w:sz w:val="24"/>
          <w:szCs w:val="24"/>
          <w:lang w:eastAsia="en-US" w:bidi="en-US"/>
        </w:rPr>
        <w:t>(</w:t>
      </w:r>
      <w:r w:rsidRPr="003737C5">
        <w:rPr>
          <w:rFonts w:ascii="Sylfaen" w:hAnsi="Sylfaen"/>
          <w:sz w:val="24"/>
          <w:szCs w:val="24"/>
          <w:lang w:val="en-US" w:eastAsia="en-US" w:bidi="en-US"/>
        </w:rPr>
        <w:t>SIGMA</w:t>
      </w:r>
      <w:r w:rsidRPr="003737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737C5">
        <w:rPr>
          <w:rFonts w:ascii="Sylfaen" w:hAnsi="Sylfaen"/>
          <w:sz w:val="24"/>
          <w:szCs w:val="24"/>
          <w:lang w:val="en-US" w:eastAsia="en-US" w:bidi="en-US"/>
        </w:rPr>
        <w:t>Paper</w:t>
      </w:r>
      <w:r w:rsidRPr="003737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737C5">
        <w:rPr>
          <w:rFonts w:ascii="Sylfaen" w:hAnsi="Sylfaen"/>
          <w:sz w:val="24"/>
          <w:szCs w:val="24"/>
        </w:rPr>
        <w:t>№ 31,2001).</w:t>
      </w:r>
    </w:p>
    <w:p w:rsidR="00D27A96" w:rsidRDefault="00D27A96" w:rsidP="003737C5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</w:p>
    <w:p w:rsidR="00CF3CC2" w:rsidRPr="003737C5" w:rsidRDefault="003737C5" w:rsidP="00D27A96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II. Европейская экономическая комиссия (ЕЭК ООН)</w:t>
      </w:r>
    </w:p>
    <w:p w:rsidR="00CF3CC2" w:rsidRPr="003737C5" w:rsidRDefault="003737C5" w:rsidP="00D27A9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1. Управление рисками в системах нормативного регулирования (Нью Йорк и Женева, 2014 г.).</w:t>
      </w:r>
    </w:p>
    <w:p w:rsidR="00CF3CC2" w:rsidRPr="003737C5" w:rsidRDefault="003737C5" w:rsidP="00D27A9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2. Рекомендация № 35: Выработка правовой основы системы «Единого окна» в международной торговле (Женева, декабрь 2010 г.).</w:t>
      </w:r>
    </w:p>
    <w:p w:rsidR="00CF3CC2" w:rsidRPr="003737C5" w:rsidRDefault="003737C5" w:rsidP="00D27A9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3. Рекомендация № 33: Рекомендация и Руководящие принципы по созданию механизма «Единого окна» для улучшения эффективного обмена информацией между торговыми и государственными органами (Женева, июль 2005 г.).</w:t>
      </w:r>
    </w:p>
    <w:p w:rsidR="00CF3CC2" w:rsidRPr="003737C5" w:rsidRDefault="003737C5" w:rsidP="00D27A9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4. Рекомендация № 26: Коммерческое использование соглашений об обмене для электронного обмена данными (Женева, март 1995 г.).</w:t>
      </w:r>
    </w:p>
    <w:p w:rsidR="00CF3CC2" w:rsidRPr="003737C5" w:rsidRDefault="003737C5" w:rsidP="00D27A96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III. Конференция ООН по торговле и развитию (ЮНКТАД)</w:t>
      </w:r>
    </w:p>
    <w:p w:rsidR="00D27A96" w:rsidRDefault="00D27A96" w:rsidP="003737C5">
      <w:pPr>
        <w:pStyle w:val="Bodytext2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  <w:lang w:val="en-US"/>
        </w:rPr>
      </w:pPr>
    </w:p>
    <w:p w:rsidR="00CF3CC2" w:rsidRPr="003737C5" w:rsidRDefault="003737C5" w:rsidP="00D27A9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1. Руководство по передовой практике в области отчетности по показателям устойчивости для директивных органов и фондовых бирж (Нью-Йорк и Женева, 2014 г.).</w:t>
      </w:r>
    </w:p>
    <w:p w:rsidR="00CF3CC2" w:rsidRPr="003737C5" w:rsidRDefault="003737C5" w:rsidP="00D27A9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2. Справочник по вопросам «технического сотрудничества» (Нью-Йорк и Женева, 2011 г.).</w:t>
      </w:r>
    </w:p>
    <w:p w:rsidR="00CF3CC2" w:rsidRPr="003737C5" w:rsidRDefault="003737C5" w:rsidP="00D27A96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lastRenderedPageBreak/>
        <w:t>IV. Всемирная торговая организация (ВТО)</w:t>
      </w:r>
    </w:p>
    <w:p w:rsidR="00CF3CC2" w:rsidRPr="003737C5" w:rsidRDefault="003737C5" w:rsidP="00D27A9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 xml:space="preserve">1. Технические стандарты по услугам. Заметки Секретариата Рабочей группы по внутреннему регулированию </w:t>
      </w:r>
      <w:r w:rsidRPr="003737C5">
        <w:rPr>
          <w:rFonts w:ascii="Sylfaen" w:hAnsi="Sylfaen"/>
          <w:sz w:val="24"/>
          <w:szCs w:val="24"/>
          <w:lang w:eastAsia="en-US" w:bidi="en-US"/>
        </w:rPr>
        <w:t>(</w:t>
      </w:r>
      <w:r w:rsidRPr="003737C5">
        <w:rPr>
          <w:rFonts w:ascii="Sylfaen" w:hAnsi="Sylfaen"/>
          <w:sz w:val="24"/>
          <w:szCs w:val="24"/>
          <w:lang w:val="en-US" w:eastAsia="en-US" w:bidi="en-US"/>
        </w:rPr>
        <w:t>S</w:t>
      </w:r>
      <w:r w:rsidRPr="003737C5">
        <w:rPr>
          <w:rFonts w:ascii="Sylfaen" w:hAnsi="Sylfaen"/>
          <w:sz w:val="24"/>
          <w:szCs w:val="24"/>
          <w:lang w:eastAsia="en-US" w:bidi="en-US"/>
        </w:rPr>
        <w:t>/</w:t>
      </w:r>
      <w:r w:rsidRPr="003737C5">
        <w:rPr>
          <w:rFonts w:ascii="Sylfaen" w:hAnsi="Sylfaen"/>
          <w:sz w:val="24"/>
          <w:szCs w:val="24"/>
          <w:lang w:val="en-US" w:eastAsia="en-US" w:bidi="en-US"/>
        </w:rPr>
        <w:t>WPDR</w:t>
      </w:r>
      <w:r w:rsidRPr="003737C5">
        <w:rPr>
          <w:rFonts w:ascii="Sylfaen" w:hAnsi="Sylfaen"/>
          <w:sz w:val="24"/>
          <w:szCs w:val="24"/>
          <w:lang w:eastAsia="en-US" w:bidi="en-US"/>
        </w:rPr>
        <w:t>/</w:t>
      </w:r>
      <w:r w:rsidRPr="003737C5">
        <w:rPr>
          <w:rFonts w:ascii="Sylfaen" w:hAnsi="Sylfaen"/>
          <w:sz w:val="24"/>
          <w:szCs w:val="24"/>
          <w:lang w:val="en-US" w:eastAsia="en-US" w:bidi="en-US"/>
        </w:rPr>
        <w:t>W</w:t>
      </w:r>
      <w:r w:rsidRPr="003737C5">
        <w:rPr>
          <w:rFonts w:ascii="Sylfaen" w:hAnsi="Sylfaen"/>
          <w:sz w:val="24"/>
          <w:szCs w:val="24"/>
          <w:lang w:eastAsia="en-US" w:bidi="en-US"/>
        </w:rPr>
        <w:t xml:space="preserve">/49, </w:t>
      </w:r>
      <w:r w:rsidRPr="003737C5">
        <w:rPr>
          <w:rStyle w:val="Bodytext215pt"/>
          <w:rFonts w:ascii="Sylfaen" w:hAnsi="Sylfaen"/>
          <w:sz w:val="24"/>
          <w:szCs w:val="24"/>
        </w:rPr>
        <w:t>2012</w:t>
      </w:r>
      <w:r w:rsidRPr="003737C5">
        <w:rPr>
          <w:rStyle w:val="Bodytext212pt"/>
          <w:rFonts w:ascii="Sylfaen" w:hAnsi="Sylfaen"/>
        </w:rPr>
        <w:t>).</w:t>
      </w:r>
    </w:p>
    <w:p w:rsidR="00CF3CC2" w:rsidRPr="003737C5" w:rsidRDefault="003737C5" w:rsidP="00D27A9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2. Рабочие документы Рабочей группы по профессиональным услугам: отчеты, записки.</w:t>
      </w:r>
    </w:p>
    <w:p w:rsidR="00CF3CC2" w:rsidRPr="003737C5" w:rsidRDefault="003737C5" w:rsidP="00D27A9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3. Рабочие документы Рабочей группы по внутреннему регулированию: отчеты, записки.</w:t>
      </w:r>
    </w:p>
    <w:p w:rsidR="00D27A96" w:rsidRDefault="00D27A96" w:rsidP="003737C5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</w:p>
    <w:p w:rsidR="00CF3CC2" w:rsidRPr="003737C5" w:rsidRDefault="003737C5" w:rsidP="00D27A96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V. Всемирный почтовый союз (ВПС)</w:t>
      </w:r>
    </w:p>
    <w:p w:rsidR="00CF3CC2" w:rsidRPr="003737C5" w:rsidRDefault="003737C5" w:rsidP="00D27A9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Устав Всемирного почтового союза (Вена, 1964 г.).</w:t>
      </w:r>
    </w:p>
    <w:p w:rsidR="00D27A96" w:rsidRDefault="00D27A96" w:rsidP="003737C5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</w:p>
    <w:p w:rsidR="00CF3CC2" w:rsidRDefault="003737C5" w:rsidP="00D27A96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3737C5">
        <w:rPr>
          <w:rFonts w:ascii="Sylfaen" w:hAnsi="Sylfaen"/>
          <w:sz w:val="24"/>
          <w:szCs w:val="24"/>
        </w:rPr>
        <w:t>VI. Международный союз электросвязи (МСЭ)</w:t>
      </w:r>
    </w:p>
    <w:p w:rsidR="00CF3CC2" w:rsidRPr="003737C5" w:rsidRDefault="003737C5" w:rsidP="00D27A9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1. Устав Международного союза электросвязи (Женева, 22 декабря 1992 г.).</w:t>
      </w:r>
    </w:p>
    <w:p w:rsidR="00CF3CC2" w:rsidRPr="003737C5" w:rsidRDefault="003737C5" w:rsidP="00D27A9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2. Руководство по регламентарной структуре для управления использованием спектра на национальном уровне (МСЭ</w:t>
      </w:r>
      <w:r w:rsidRPr="003737C5">
        <w:rPr>
          <w:rFonts w:ascii="Sylfaen" w:hAnsi="Sylfaen"/>
          <w:sz w:val="24"/>
          <w:szCs w:val="24"/>
          <w:lang w:eastAsia="en-US" w:bidi="en-US"/>
        </w:rPr>
        <w:t>-</w:t>
      </w:r>
      <w:r w:rsidRPr="003737C5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3737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737C5">
        <w:rPr>
          <w:rFonts w:ascii="Sylfaen" w:hAnsi="Sylfaen"/>
          <w:sz w:val="24"/>
          <w:szCs w:val="24"/>
          <w:lang w:val="en-US" w:eastAsia="en-US" w:bidi="en-US"/>
        </w:rPr>
        <w:t>SM</w:t>
      </w:r>
      <w:r w:rsidRPr="003737C5">
        <w:rPr>
          <w:rFonts w:ascii="Sylfaen" w:hAnsi="Sylfaen"/>
          <w:sz w:val="24"/>
          <w:szCs w:val="24"/>
          <w:lang w:eastAsia="en-US" w:bidi="en-US"/>
        </w:rPr>
        <w:t>.</w:t>
      </w:r>
      <w:r w:rsidRPr="003737C5">
        <w:rPr>
          <w:rFonts w:ascii="Sylfaen" w:hAnsi="Sylfaen"/>
          <w:sz w:val="24"/>
          <w:szCs w:val="24"/>
        </w:rPr>
        <w:t>2093-2 (06/2015)).</w:t>
      </w:r>
    </w:p>
    <w:p w:rsidR="00D27A96" w:rsidRDefault="00D27A96" w:rsidP="003737C5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</w:p>
    <w:p w:rsidR="00CF3CC2" w:rsidRPr="003737C5" w:rsidRDefault="003737C5" w:rsidP="00D27A96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VII. Всемирная туристская организация (ВТО)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1. Глобальный этический кодекс туризма (Сантьяго, 1 октября 1999 г.).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2. Гаагская декларация межпарламентской конференции по туризму 1989 года (Гаага, 10-14 апреля 1989 г.).</w:t>
      </w:r>
    </w:p>
    <w:p w:rsidR="00CF3CC2" w:rsidRPr="003737C5" w:rsidRDefault="003737C5" w:rsidP="003737C5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3. Хартия туризма и Кодекс туриста, одобренные Резолюцией № 1 VI сессии Генеральной ассамблеи Всемирной туристской организации (София, 22 сентября 1985 г.).</w:t>
      </w:r>
    </w:p>
    <w:p w:rsidR="00D27A96" w:rsidRDefault="00D27A96" w:rsidP="003737C5">
      <w:pPr>
        <w:pStyle w:val="Bodytext20"/>
        <w:shd w:val="clear" w:color="auto" w:fill="auto"/>
        <w:spacing w:before="0" w:after="120" w:line="240" w:lineRule="auto"/>
        <w:ind w:hanging="340"/>
        <w:jc w:val="left"/>
        <w:rPr>
          <w:rFonts w:ascii="Sylfaen" w:hAnsi="Sylfaen"/>
          <w:sz w:val="24"/>
          <w:szCs w:val="24"/>
          <w:lang w:val="en-US"/>
        </w:rPr>
      </w:pPr>
    </w:p>
    <w:p w:rsidR="00CF3CC2" w:rsidRPr="003737C5" w:rsidRDefault="003737C5" w:rsidP="00D27A96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>VIII. Международная организация по стандартизации (ИСО) и Международная электротехническая комиссия (МЭК)</w:t>
      </w:r>
    </w:p>
    <w:p w:rsidR="00CF3CC2" w:rsidRPr="003737C5" w:rsidRDefault="003737C5" w:rsidP="00D27A9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737C5">
        <w:rPr>
          <w:rFonts w:ascii="Sylfaen" w:hAnsi="Sylfaen"/>
          <w:sz w:val="24"/>
          <w:szCs w:val="24"/>
        </w:rPr>
        <w:t xml:space="preserve">Стандартизация и смежные виды деятельности. Общий словарь </w:t>
      </w:r>
      <w:r w:rsidRPr="003737C5">
        <w:rPr>
          <w:rFonts w:ascii="Sylfaen" w:hAnsi="Sylfaen"/>
          <w:sz w:val="24"/>
          <w:szCs w:val="24"/>
          <w:lang w:eastAsia="en-US" w:bidi="en-US"/>
        </w:rPr>
        <w:t>(</w:t>
      </w:r>
      <w:r w:rsidRPr="003737C5">
        <w:rPr>
          <w:rFonts w:ascii="Sylfaen" w:hAnsi="Sylfaen"/>
          <w:sz w:val="24"/>
          <w:szCs w:val="24"/>
          <w:lang w:val="en-US" w:eastAsia="en-US" w:bidi="en-US"/>
        </w:rPr>
        <w:t>ISO</w:t>
      </w:r>
      <w:r w:rsidRPr="003737C5">
        <w:rPr>
          <w:rFonts w:ascii="Sylfaen" w:hAnsi="Sylfaen"/>
          <w:sz w:val="24"/>
          <w:szCs w:val="24"/>
          <w:lang w:eastAsia="en-US" w:bidi="en-US"/>
        </w:rPr>
        <w:t>/</w:t>
      </w:r>
      <w:r w:rsidRPr="003737C5">
        <w:rPr>
          <w:rFonts w:ascii="Sylfaen" w:hAnsi="Sylfaen"/>
          <w:sz w:val="24"/>
          <w:szCs w:val="24"/>
          <w:lang w:val="en-US" w:eastAsia="en-US" w:bidi="en-US"/>
        </w:rPr>
        <w:t>IEC</w:t>
      </w:r>
      <w:r w:rsidRPr="003737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737C5">
        <w:rPr>
          <w:rFonts w:ascii="Sylfaen" w:hAnsi="Sylfaen"/>
          <w:sz w:val="24"/>
          <w:szCs w:val="24"/>
          <w:lang w:val="en-US" w:eastAsia="en-US" w:bidi="en-US"/>
        </w:rPr>
        <w:t>GUIDE</w:t>
      </w:r>
      <w:r w:rsidRPr="003737C5">
        <w:rPr>
          <w:rFonts w:ascii="Sylfaen" w:hAnsi="Sylfaen"/>
          <w:sz w:val="24"/>
          <w:szCs w:val="24"/>
          <w:lang w:eastAsia="en-US" w:bidi="en-US"/>
        </w:rPr>
        <w:t xml:space="preserve"> 2:2004(</w:t>
      </w:r>
      <w:r w:rsidRPr="003737C5">
        <w:rPr>
          <w:rFonts w:ascii="Sylfaen" w:hAnsi="Sylfaen"/>
          <w:sz w:val="24"/>
          <w:szCs w:val="24"/>
          <w:lang w:val="en-US" w:eastAsia="en-US" w:bidi="en-US"/>
        </w:rPr>
        <w:t>E</w:t>
      </w:r>
      <w:r w:rsidRPr="003737C5">
        <w:rPr>
          <w:rFonts w:ascii="Sylfaen" w:hAnsi="Sylfaen"/>
          <w:sz w:val="24"/>
          <w:szCs w:val="24"/>
          <w:lang w:eastAsia="en-US" w:bidi="en-US"/>
        </w:rPr>
        <w:t>/</w:t>
      </w:r>
      <w:r w:rsidRPr="003737C5">
        <w:rPr>
          <w:rFonts w:ascii="Sylfaen" w:hAnsi="Sylfaen"/>
          <w:sz w:val="24"/>
          <w:szCs w:val="24"/>
          <w:lang w:val="en-US" w:eastAsia="en-US" w:bidi="en-US"/>
        </w:rPr>
        <w:t>F</w:t>
      </w:r>
      <w:r w:rsidRPr="003737C5">
        <w:rPr>
          <w:rFonts w:ascii="Sylfaen" w:hAnsi="Sylfaen"/>
          <w:sz w:val="24"/>
          <w:szCs w:val="24"/>
          <w:lang w:eastAsia="en-US" w:bidi="en-US"/>
        </w:rPr>
        <w:t>/</w:t>
      </w:r>
      <w:r w:rsidRPr="003737C5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3737C5">
        <w:rPr>
          <w:rFonts w:ascii="Sylfaen" w:hAnsi="Sylfaen"/>
          <w:sz w:val="24"/>
          <w:szCs w:val="24"/>
          <w:lang w:eastAsia="en-US" w:bidi="en-US"/>
        </w:rPr>
        <w:t>)).</w:t>
      </w:r>
    </w:p>
    <w:sectPr w:rsidR="00CF3CC2" w:rsidRPr="003737C5" w:rsidSect="003737C5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CC8" w:rsidRDefault="00004CC8" w:rsidP="00CF3CC2">
      <w:r>
        <w:separator/>
      </w:r>
    </w:p>
  </w:endnote>
  <w:endnote w:type="continuationSeparator" w:id="0">
    <w:p w:rsidR="00004CC8" w:rsidRDefault="00004CC8" w:rsidP="00CF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CC8" w:rsidRDefault="00004CC8"/>
  </w:footnote>
  <w:footnote w:type="continuationSeparator" w:id="0">
    <w:p w:rsidR="00004CC8" w:rsidRDefault="00004CC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D87"/>
    <w:multiLevelType w:val="multilevel"/>
    <w:tmpl w:val="A54E3F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4124A8"/>
    <w:multiLevelType w:val="multilevel"/>
    <w:tmpl w:val="051C5C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416811"/>
    <w:multiLevelType w:val="multilevel"/>
    <w:tmpl w:val="E8D6FB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565714"/>
    <w:multiLevelType w:val="multilevel"/>
    <w:tmpl w:val="C52A789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F23B5F"/>
    <w:multiLevelType w:val="multilevel"/>
    <w:tmpl w:val="F60A88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0A35C3"/>
    <w:multiLevelType w:val="multilevel"/>
    <w:tmpl w:val="8760EB4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F02E54"/>
    <w:multiLevelType w:val="multilevel"/>
    <w:tmpl w:val="1FA0A8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2F0CEC"/>
    <w:multiLevelType w:val="multilevel"/>
    <w:tmpl w:val="E98AEA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4A6252"/>
    <w:multiLevelType w:val="multilevel"/>
    <w:tmpl w:val="6E22ACDA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2C62EB"/>
    <w:multiLevelType w:val="multilevel"/>
    <w:tmpl w:val="59C444C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7472C75"/>
    <w:multiLevelType w:val="multilevel"/>
    <w:tmpl w:val="A10E3A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D7B1B74"/>
    <w:multiLevelType w:val="multilevel"/>
    <w:tmpl w:val="C598EA08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9"/>
  </w:num>
  <w:num w:numId="7">
    <w:abstractNumId w:val="7"/>
  </w:num>
  <w:num w:numId="8">
    <w:abstractNumId w:val="4"/>
  </w:num>
  <w:num w:numId="9">
    <w:abstractNumId w:val="6"/>
  </w:num>
  <w:num w:numId="10">
    <w:abstractNumId w:val="11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F3CC2"/>
    <w:rsid w:val="00004CC8"/>
    <w:rsid w:val="000E3881"/>
    <w:rsid w:val="00173FD6"/>
    <w:rsid w:val="00225114"/>
    <w:rsid w:val="003737C5"/>
    <w:rsid w:val="00C64654"/>
    <w:rsid w:val="00CF3CC2"/>
    <w:rsid w:val="00D2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F3CC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F3CC2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CF3C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">
    <w:name w:val="Table caption_"/>
    <w:basedOn w:val="DefaultParagraphFont"/>
    <w:link w:val="Tablecaption0"/>
    <w:rsid w:val="00CF3C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CF3C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F3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basedOn w:val="Bodytext2"/>
    <w:rsid w:val="00CF3C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3">
    <w:name w:val="Heading #3_"/>
    <w:basedOn w:val="DefaultParagraphFont"/>
    <w:link w:val="Heading30"/>
    <w:rsid w:val="00CF3C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DefaultParagraphFont"/>
    <w:link w:val="Bodytext30"/>
    <w:rsid w:val="00CF3C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0">
    <w:name w:val="Body text (2) + Bold"/>
    <w:aliases w:val="Spacing 1 pt"/>
    <w:basedOn w:val="Bodytext2"/>
    <w:rsid w:val="00CF3C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85pt">
    <w:name w:val="Body text (2) + 8.5 pt"/>
    <w:aliases w:val="Italic,Spacing -1 pt"/>
    <w:basedOn w:val="Bodytext2"/>
    <w:rsid w:val="00CF3C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Heading12">
    <w:name w:val="Heading #1 (2)"/>
    <w:basedOn w:val="DefaultParagraphFont"/>
    <w:rsid w:val="00CF3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Spacing1pt">
    <w:name w:val="Heading #3 + Spacing 1 pt"/>
    <w:basedOn w:val="Heading3"/>
    <w:rsid w:val="00CF3C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5pt">
    <w:name w:val="Body text (2) + 15 pt"/>
    <w:basedOn w:val="Bodytext2"/>
    <w:rsid w:val="00CF3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CF3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CF3CC2"/>
    <w:pPr>
      <w:shd w:val="clear" w:color="auto" w:fill="FFFFFF"/>
      <w:spacing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0">
    <w:name w:val="Table caption"/>
    <w:basedOn w:val="Normal"/>
    <w:link w:val="Tablecaption"/>
    <w:rsid w:val="00CF3CC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F3CC2"/>
    <w:pPr>
      <w:shd w:val="clear" w:color="auto" w:fill="FFFFFF"/>
      <w:spacing w:before="420" w:after="420" w:line="0" w:lineRule="atLeast"/>
      <w:ind w:hanging="21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30">
    <w:name w:val="Heading #3"/>
    <w:basedOn w:val="Normal"/>
    <w:link w:val="Heading3"/>
    <w:rsid w:val="00CF3CC2"/>
    <w:pPr>
      <w:shd w:val="clear" w:color="auto" w:fill="FFFFFF"/>
      <w:spacing w:before="1020" w:after="4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0">
    <w:name w:val="Body text (3)"/>
    <w:basedOn w:val="Normal"/>
    <w:link w:val="Bodytext3"/>
    <w:rsid w:val="00CF3CC2"/>
    <w:pPr>
      <w:shd w:val="clear" w:color="auto" w:fill="FFFFFF"/>
      <w:spacing w:before="180" w:after="6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20</Pages>
  <Words>6749</Words>
  <Characters>38473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5</cp:revision>
  <dcterms:created xsi:type="dcterms:W3CDTF">2017-04-14T12:40:00Z</dcterms:created>
  <dcterms:modified xsi:type="dcterms:W3CDTF">2017-12-22T13:22:00Z</dcterms:modified>
</cp:coreProperties>
</file>