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D9" w:rsidRPr="00612612" w:rsidRDefault="00612612" w:rsidP="00612612">
      <w:pPr>
        <w:pStyle w:val="Bodytext20"/>
        <w:shd w:val="clear" w:color="auto" w:fill="auto"/>
        <w:spacing w:before="0" w:after="120" w:line="240" w:lineRule="auto"/>
        <w:ind w:left="5040"/>
        <w:rPr>
          <w:rFonts w:ascii="Sylfaen" w:hAnsi="Sylfaen"/>
          <w:sz w:val="24"/>
          <w:szCs w:val="24"/>
        </w:rPr>
      </w:pPr>
      <w:r>
        <w:rPr>
          <w:rStyle w:val="Headerorfooter"/>
          <w:rFonts w:ascii="Sylfaen" w:hAnsi="Sylfaen"/>
          <w:sz w:val="24"/>
          <w:szCs w:val="24"/>
        </w:rPr>
        <w:t xml:space="preserve">            </w:t>
      </w:r>
      <w:bookmarkStart w:id="0" w:name="_GoBack"/>
      <w:bookmarkEnd w:id="0"/>
      <w:r w:rsidR="00B73BC6" w:rsidRPr="00DE45F1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92183E" w:rsidRPr="00612612">
        <w:rPr>
          <w:rFonts w:ascii="Sylfaen" w:hAnsi="Sylfaen"/>
          <w:sz w:val="24"/>
          <w:szCs w:val="24"/>
        </w:rPr>
        <w:t>1</w:t>
      </w:r>
    </w:p>
    <w:p w:rsidR="001B5AD9" w:rsidRPr="00DE45F1" w:rsidRDefault="00B73BC6" w:rsidP="0092183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к Решению Совета</w:t>
      </w:r>
    </w:p>
    <w:p w:rsidR="001B5AD9" w:rsidRPr="00DE45F1" w:rsidRDefault="00B73BC6" w:rsidP="0092183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B5AD9" w:rsidRPr="00DE45F1" w:rsidRDefault="00B73BC6" w:rsidP="0092183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от 20 декабря 2017 г. № 88</w:t>
      </w:r>
    </w:p>
    <w:p w:rsidR="0092183E" w:rsidRPr="00612612" w:rsidRDefault="0092183E" w:rsidP="00DE45F1">
      <w:pPr>
        <w:pStyle w:val="Heading20"/>
        <w:shd w:val="clear" w:color="auto" w:fill="auto"/>
        <w:spacing w:before="0" w:after="120" w:line="240" w:lineRule="auto"/>
        <w:ind w:right="40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1B5AD9" w:rsidRPr="00DE45F1" w:rsidRDefault="00B73BC6" w:rsidP="00DE45F1">
      <w:pPr>
        <w:pStyle w:val="Heading2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DE45F1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1B5AD9" w:rsidRPr="00612612" w:rsidRDefault="00B73BC6" w:rsidP="00DE45F1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случаев иного потребления товаров, чем предусмотренное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подпунктом 4 пункта 1 статьи 205 Таможенного кодекса</w:t>
      </w:r>
      <w:r w:rsidR="00A932FB">
        <w:rPr>
          <w:rFonts w:ascii="Sylfaen" w:hAnsi="Sylfaen"/>
          <w:sz w:val="24"/>
          <w:szCs w:val="24"/>
        </w:rPr>
        <w:t xml:space="preserve"> </w:t>
      </w:r>
      <w:r w:rsidRPr="00DE45F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92183E" w:rsidRPr="00612612" w:rsidRDefault="0092183E" w:rsidP="00DE45F1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p w:rsidR="001B5AD9" w:rsidRPr="00DE45F1" w:rsidRDefault="00DE45F1" w:rsidP="009218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1.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Потребление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 (далее - товары), осуществляемое резидентом (участником, субъектом) свободной (специальной, особой) экономической зоны (далее - СЭЗ) при создании на территории СЭЗ объектов недвижимости в целях реализации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программы), которые становятся составной и неотъемлемой частью таких объектов. В этом случае такие товары считаются потребленными, если объекты недвижимости, при создании которых они использованы, введены в эксплуатацию и зарегистрированы на праве собственности за резидентом (участником, субъектом) СЭЗ в соответствии с законодательством государств - членов Евразийского экономического союза (далее - государства- члены), а если это установлено законодательством государств-членов, - и эксплуатировались таким резидентом (участником, субъектом) СЭЗ не менее срока, установленного законодательством государств-членов.</w:t>
      </w:r>
    </w:p>
    <w:p w:rsidR="001B5AD9" w:rsidRPr="00DE45F1" w:rsidRDefault="00DE45F1" w:rsidP="009218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2.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Потребление товаров при эксплуатации (содержании), ремонте, реконструкции объектов недвижимости, находящихся на территории СЭЗ, на которой применяется таможенная процедура свободной таможенной зоны.</w:t>
      </w:r>
    </w:p>
    <w:p w:rsidR="001B5AD9" w:rsidRPr="00DE45F1" w:rsidRDefault="00DE45F1" w:rsidP="009218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3.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>Потребление товаров при эксплуатации и (или) техническом обслуживании оборудования, машин и агрегатов, помещенных под таможенную процедуру свободной таможенной зоны и используемых на территории СЭЗ, на которой применяется таможенная процедура свободной таможенной зоны. В этом случае такие товары считаются потребленными, если они полностью уничтожены, использованы без остатка при совершении указанных операций.</w:t>
      </w:r>
    </w:p>
    <w:p w:rsidR="0092183E" w:rsidRPr="00612612" w:rsidRDefault="00DE45F1" w:rsidP="0092183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E45F1">
        <w:rPr>
          <w:rFonts w:ascii="Sylfaen" w:hAnsi="Sylfaen"/>
          <w:sz w:val="24"/>
          <w:szCs w:val="24"/>
        </w:rPr>
        <w:t>4.</w:t>
      </w:r>
      <w:r w:rsidR="00A932FB">
        <w:rPr>
          <w:rFonts w:ascii="Sylfaen" w:hAnsi="Sylfaen"/>
          <w:sz w:val="24"/>
          <w:szCs w:val="24"/>
        </w:rPr>
        <w:t xml:space="preserve"> </w:t>
      </w:r>
      <w:r w:rsidR="00B73BC6" w:rsidRPr="00DE45F1">
        <w:rPr>
          <w:rFonts w:ascii="Sylfaen" w:hAnsi="Sylfaen"/>
          <w:sz w:val="24"/>
          <w:szCs w:val="24"/>
        </w:rPr>
        <w:t xml:space="preserve">Потребление товаров, осуществляемое резидентом (участником, субъектом) СЭЗ при проведении на территории СЭЗ исследований, испытаний, тестирований, проверок, опытов или экспериментов в целях реализации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</w:t>
      </w:r>
      <w:r w:rsidR="00B73BC6" w:rsidRPr="00DE45F1">
        <w:rPr>
          <w:rFonts w:ascii="Sylfaen" w:hAnsi="Sylfaen"/>
          <w:sz w:val="24"/>
          <w:szCs w:val="24"/>
        </w:rPr>
        <w:lastRenderedPageBreak/>
        <w:t>программы). В этом случае такие товары считаются потребленными, если они полностью уничтожены, использованы без остатка при совершении указанных операций.</w:t>
      </w:r>
    </w:p>
    <w:sectPr w:rsidR="0092183E" w:rsidRPr="00612612" w:rsidSect="00DE45F1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871" w:rsidRDefault="00927871" w:rsidP="001B5AD9">
      <w:r>
        <w:separator/>
      </w:r>
    </w:p>
  </w:endnote>
  <w:endnote w:type="continuationSeparator" w:id="0">
    <w:p w:rsidR="00927871" w:rsidRDefault="00927871" w:rsidP="001B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871" w:rsidRDefault="00927871"/>
  </w:footnote>
  <w:footnote w:type="continuationSeparator" w:id="0">
    <w:p w:rsidR="00927871" w:rsidRDefault="009278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75F"/>
    <w:multiLevelType w:val="multilevel"/>
    <w:tmpl w:val="886C3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D2B27"/>
    <w:multiLevelType w:val="multilevel"/>
    <w:tmpl w:val="68DEA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A5330"/>
    <w:multiLevelType w:val="multilevel"/>
    <w:tmpl w:val="4A9A7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D6F88"/>
    <w:multiLevelType w:val="multilevel"/>
    <w:tmpl w:val="F710D7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1056B"/>
    <w:multiLevelType w:val="multilevel"/>
    <w:tmpl w:val="B4E2F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1017AD"/>
    <w:multiLevelType w:val="multilevel"/>
    <w:tmpl w:val="E3FCEE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ED2704"/>
    <w:multiLevelType w:val="multilevel"/>
    <w:tmpl w:val="E63AED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752B45"/>
    <w:multiLevelType w:val="multilevel"/>
    <w:tmpl w:val="3E547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EB3A8A"/>
    <w:multiLevelType w:val="multilevel"/>
    <w:tmpl w:val="0AF0FA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AD9"/>
    <w:rsid w:val="001B5AD9"/>
    <w:rsid w:val="00462F20"/>
    <w:rsid w:val="005F3EF1"/>
    <w:rsid w:val="00612612"/>
    <w:rsid w:val="00673382"/>
    <w:rsid w:val="0079459C"/>
    <w:rsid w:val="00865883"/>
    <w:rsid w:val="0092183E"/>
    <w:rsid w:val="0092716E"/>
    <w:rsid w:val="00927871"/>
    <w:rsid w:val="00A932FB"/>
    <w:rsid w:val="00B221A2"/>
    <w:rsid w:val="00B73BC6"/>
    <w:rsid w:val="00D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BAF7C"/>
  <w15:docId w15:val="{0E278FD7-7C3B-4368-BDF3-5FEE32B6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B5AD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5AD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egoeUI">
    <w:name w:val="Body text (2) + Segoe UI"/>
    <w:aliases w:val="14 pt,Bold,Spacing 1 pt"/>
    <w:basedOn w:val="Bodytext2"/>
    <w:rsid w:val="001B5AD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,Spacing 2 pt"/>
    <w:basedOn w:val="Bodytext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Heading2Spacing2pt0">
    <w:name w:val="Heading #2 + Spacing 2 pt"/>
    <w:basedOn w:val="Heading2"/>
    <w:rsid w:val="001B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1B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B5AD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B5AD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B5AD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B5AD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1B5AD9"/>
    <w:pPr>
      <w:shd w:val="clear" w:color="auto" w:fill="FFFFFF"/>
      <w:spacing w:before="300" w:after="42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1B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B5AD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1B5AD9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2018-04-09T12:26:00Z</dcterms:created>
  <dcterms:modified xsi:type="dcterms:W3CDTF">2020-04-21T11:37:00Z</dcterms:modified>
</cp:coreProperties>
</file>