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2E46F8">
        <w:rPr>
          <w:rFonts w:ascii="Sylfaen" w:hAnsi="Sylfaen" w:cs="Sylfaen"/>
          <w:sz w:val="24"/>
        </w:rPr>
        <w:t>УТВЕРЖДЕНА</w:t>
      </w:r>
    </w:p>
    <w:p w:rsidR="004F3A95" w:rsidRDefault="002E46F8" w:rsidP="004F3A95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Решением Коллегии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Евразийской экономической комиссии</w:t>
      </w:r>
    </w:p>
    <w:p w:rsidR="00D774E4" w:rsidRDefault="002E46F8" w:rsidP="004F3A95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  <w:r w:rsidRPr="002E46F8">
        <w:rPr>
          <w:rFonts w:ascii="Sylfaen" w:hAnsi="Sylfaen" w:cs="Sylfaen"/>
          <w:sz w:val="24"/>
        </w:rPr>
        <w:t>от 14 ноября 2017 г. № 152</w:t>
      </w:r>
    </w:p>
    <w:p w:rsidR="004F3A95" w:rsidRPr="004F3A95" w:rsidRDefault="004F3A95" w:rsidP="004F3A95">
      <w:pPr>
        <w:pStyle w:val="Bodytext20"/>
        <w:shd w:val="clear" w:color="auto" w:fill="auto"/>
        <w:spacing w:before="0" w:after="120" w:line="240" w:lineRule="auto"/>
        <w:ind w:left="5103" w:right="40"/>
        <w:jc w:val="center"/>
        <w:rPr>
          <w:rFonts w:ascii="Sylfaen" w:hAnsi="Sylfaen" w:cs="Sylfaen"/>
          <w:sz w:val="24"/>
          <w:lang w:val="en-US"/>
        </w:rPr>
      </w:pPr>
    </w:p>
    <w:p w:rsidR="00D774E4" w:rsidRPr="002E46F8" w:rsidRDefault="002E46F8" w:rsidP="002E46F8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pacing w:val="0"/>
          <w:sz w:val="24"/>
        </w:rPr>
      </w:pPr>
      <w:r w:rsidRPr="002E46F8">
        <w:rPr>
          <w:rStyle w:val="Bodytext4Spacing1pt"/>
          <w:rFonts w:ascii="Sylfaen" w:hAnsi="Sylfaen" w:cs="Sylfaen"/>
          <w:b/>
          <w:bCs/>
          <w:spacing w:val="0"/>
          <w:sz w:val="24"/>
        </w:rPr>
        <w:t>МЕТОДОЛОГИЯ</w:t>
      </w:r>
    </w:p>
    <w:p w:rsidR="00D774E4" w:rsidRPr="002E46F8" w:rsidRDefault="002E46F8" w:rsidP="002E46F8">
      <w:pPr>
        <w:pStyle w:val="Bodytext30"/>
        <w:shd w:val="clear" w:color="auto" w:fill="auto"/>
        <w:spacing w:line="240" w:lineRule="auto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разделения препятствий на внутреннем рынке Евразийского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экономического союза на барьеры, изъятия и ограничения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Настоящая Методология разработана в соответствии со статьей 28 Договора о Евразийском экономическом союзе от 29 мая 2014 года (далее - Договор) и в рамках реализации подпункта 10 пункта 43 Положения о Евразийской экономической комиссии (приложение № 1 к Договору), а также во исполнение распоряжения Совета Евразийской экономической комиссии от 17 марта 2016 г. № 5 и распоряжения Совета Евразийской экономической комиссии от 18 октября 2016 г. № 29 в целях обеспечения взаимодействия Евразийской экономической комиссии с органами государственной власти государств - членов Евразийского экономического союза (далее соответственно - Комиссия, государства- члены, Союз) при формировании реестра барьеров, изъятий и ограничений на внутреннем рынке Союза (далее - реестр) и определяет критерии разделения препятствий на внутреннем рынке Союза на барьеры, изъятия и ограничения.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Понятия, используемые в настоящей Методологии, означают следующее: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«барьеры» - препятствия для свободного движения товаров, услуг, капитала, рабочей силы в рамках функционирования внутреннего рынка Союза, не соответствующие праву Союза;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«изъятия» - предусмотренные правом Союза исключения (отступления) в части неприменения государством-членом общих правил функционирования внутреннего рынка Союза;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«ограничения» - препятствия для свободного движения товаров, услуг, капитала, рабочей силы в рамках функционирования внутреннего рынка Союза,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возникшие вследствие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отсутствия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правового регулирования экономических отношений, развитие которых предусмотрено правом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Иные понятия, используемые в настоящей Методологии, применяются в значениях, определенных Договором и актами, входящими в право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3.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подлежит отнесению к барьеру в случае, если оно не соответствует нормам, предусмотренным правом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4.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подлежит отнесению к изъятию при его соответствии одному из следующих критериев: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 xml:space="preserve">препятствие возникло ввиду предусмотренного правом Союза исключения </w:t>
      </w:r>
      <w:r w:rsidRPr="002E46F8">
        <w:rPr>
          <w:rFonts w:ascii="Sylfaen" w:hAnsi="Sylfaen" w:cs="Sylfaen"/>
          <w:sz w:val="24"/>
        </w:rPr>
        <w:lastRenderedPageBreak/>
        <w:t>(отступления) из общих правил свободного движения товаров, услуг (включая учреждение и деятельность), капитала и рабочей силы при функционировании внутреннего рынка Союза;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возникло ввиду того, что государствами-членами введены (могут быть введены) меры в соответствии с правом Союза, в том числе в одностороннем порядке.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5.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подлежит отнесению к ограничению при его соответствии одному из следующих критериев: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возникло в результате отсутствия правового регулирования экономических отношений в праве Союза;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возникло ввиду отсутствия норм права Союза, разработка которых предусмотрена правом Союза;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препятствие выявлено в результате анализа правоприменительной практики, установившего противоречие между нормами права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6.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Препятствия разделяются на барьеры, изъятия и ограничения по результатам мониторинга исполнения государствами-членами положений Договора, международных договоров и актов, составляющих право Союза, мониторинга соответствия проектов нормативных правовых актов государств-членов положениям Договора, международных договоров и актов, составляющих право Союза, проведенного департаментом Комиссии, к компетенции которого относятся вопросы функционирования внутренних рынков (далее - уполномоченный департамент), самостоятельно в инициативном порядке либо в связи с имеющимися сведениями о препятствиях, поступившими от государств-членов, юридических и физических лиц в соответствии с подразделом 7 раздела III Регламента работы Евразийской экономической комиссии, утвержденного Решением Высшего Евразийского экономического совета от 23 декабря 2014 г. № 98 (далее - Регламент), а также от структурных подразделений Комиссии.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7.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целях подготовки материалов по вопросу разделения препятствий на барьеры, изъятия и ограничения уполномоченный департамент осуществляет анализ сведений, полученных в соответствии с пунктом 6 настоящей Методологии, готовит заключение о наличии либо об отсутствии признаков препятствий на внутреннем рынке Союза, взаимодействует с государствами-членами, структурными подразделениями Комиссии, Деловым советом Евразийского экономического союза, бизнес-сообществами государств-членов, а также с иными заинтересованными лицами.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Уполномоченный департамент обобщает сведения о препятствиях и анализирует их совместно со структурными подразделениями Комиссии путем взаимодействия в порядке, определенном Правилами внутреннего документооборота в Евразийской экономической комиссии, утвержденными Решением Коллегии Евразийской экономической комиссии от 5 мая 2015 г. № 46.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При наличии признаков препятствия уполномоченный департамент дает оценку влияния барьеров, изъятий и ограничений на экономики государств-членов.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8.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Разделение препятствий на барьеры, изъятия и ограничения осуществляется уполномоченным департаментом совместно с органами государственной власти государств-членов в срок, не превышающий 2 месяцев с даты подготовки заключения о наличии либо об отсутствии признаков препятствий на внутреннем рынке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Указанное заключение с приложением документов (материалов) по рассматриваемому вопросу направляется Комиссией в правительства государств-членов с одновременным направлением указанных документов (материалов) (за исключением документов ограниченного распространения) посредством электронной почты в адрес органов государственной власти государств-членов, уполномоченных на взаимодействие с Комиссией. Государства-члены представляют в Комиссию информацию о своих позициях по заключению в течение 30 календарных дней с даты его получения.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 случае несогласия государства-члена, в котором возникло препятствие, с заключением Комиссия организует проведение консультаций с участием представителей уполномоченных органов всех государств-членов по вопросам разделения препятствий на барьеры, изъятия и ограничения и их включения в реестр.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Комиссия заблаговременно, не позднее 15 календарных дней до даты проведения соответствующих консультаций, направляет информацию о позициях государств-членов по заключению в правительства других государств-членов с одновременным направлением указанной информации (за исключением сведений ограниченного распространения) посредством электронной почты в адрес органов государственной власти государств-членов, уполномоченных на взаимодействие с Комиссией.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9.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Препятствия включаются в реестр при наличии одного из следующих оснований: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позиция государства-члена, в котором возникло препятствие, по заключению, предусмотренному пунктом 8 настоящей Методологии, согласно которой государство-член согласилось с квалификацией препятствия в качестве барьера, изъятия или ограничения;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протокол консультаций, в соответствии с которым все государства-члены согласились с квалификацией препятствия в качестве барьера, изъятия или ограничения и с его включением в реестр;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 отношении барьеров, не согласованных государствами- членами по итогам консультаций, - решение Коллегии Комиссии о необходимости исполнения государством-членом международных договоров, входящих в право Союза, и решений Комиссии.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lastRenderedPageBreak/>
        <w:t>10.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Вопросы о не согласованных государствами-членами по итогам консультаций изъятиях и ограничениях могут вноситься для рассмотрения органами Союза (Высшим Евразийским экономическим советом, Евразийским межправительственным советом, Советом Комиссии и Коллегией Комиссии) в соответствии с Регламентом. При этом в комплект документов и материалов по вопросу включается</w:t>
      </w:r>
      <w:r w:rsidR="004F3A95" w:rsidRPr="004F3A95"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заключение о наличии либо об отсутствии признаков препятствий на внутреннем рынке Союза.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11.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Реестр формируется и ведется в электронном виде в порядке, определяемом приказом Председателя Коллегии Комиссии.</w:t>
      </w:r>
    </w:p>
    <w:p w:rsidR="00D774E4" w:rsidRPr="002E46F8" w:rsidRDefault="002E46F8" w:rsidP="004F3A95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2E46F8">
        <w:rPr>
          <w:rFonts w:ascii="Sylfaen" w:hAnsi="Sylfaen" w:cs="Sylfaen"/>
          <w:sz w:val="24"/>
        </w:rPr>
        <w:t>12.</w:t>
      </w:r>
      <w:r>
        <w:rPr>
          <w:rFonts w:ascii="Sylfaen" w:hAnsi="Sylfaen" w:cs="Sylfaen"/>
          <w:sz w:val="24"/>
        </w:rPr>
        <w:t xml:space="preserve"> </w:t>
      </w:r>
      <w:r w:rsidRPr="002E46F8">
        <w:rPr>
          <w:rFonts w:ascii="Sylfaen" w:hAnsi="Sylfaen" w:cs="Sylfaen"/>
          <w:sz w:val="24"/>
        </w:rPr>
        <w:t>Препятствия, включенные в реестр, подлежат устранению в порядке, предусмотренном правом Союза.</w:t>
      </w:r>
    </w:p>
    <w:sectPr w:rsidR="00D774E4" w:rsidRPr="002E46F8" w:rsidSect="002E46F8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1D" w:rsidRDefault="00FF2F1D" w:rsidP="00D774E4">
      <w:r>
        <w:separator/>
      </w:r>
    </w:p>
  </w:endnote>
  <w:endnote w:type="continuationSeparator" w:id="0">
    <w:p w:rsidR="00FF2F1D" w:rsidRDefault="00FF2F1D" w:rsidP="00D7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1D" w:rsidRDefault="00FF2F1D">
      <w:r>
        <w:separator/>
      </w:r>
    </w:p>
  </w:footnote>
  <w:footnote w:type="continuationSeparator" w:id="0">
    <w:p w:rsidR="00FF2F1D" w:rsidRDefault="00FF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BB4"/>
    <w:multiLevelType w:val="multilevel"/>
    <w:tmpl w:val="34D66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A5D67"/>
    <w:multiLevelType w:val="multilevel"/>
    <w:tmpl w:val="285A6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B374D5"/>
    <w:multiLevelType w:val="multilevel"/>
    <w:tmpl w:val="DCE00D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876993"/>
    <w:multiLevelType w:val="multilevel"/>
    <w:tmpl w:val="FE3C0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90FC4"/>
    <w:multiLevelType w:val="multilevel"/>
    <w:tmpl w:val="E94A4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B27114"/>
    <w:multiLevelType w:val="multilevel"/>
    <w:tmpl w:val="D17E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84988"/>
    <w:multiLevelType w:val="multilevel"/>
    <w:tmpl w:val="4DB2F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95A43"/>
    <w:multiLevelType w:val="multilevel"/>
    <w:tmpl w:val="ECC0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F281E"/>
    <w:multiLevelType w:val="multilevel"/>
    <w:tmpl w:val="7174C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FA2960"/>
    <w:multiLevelType w:val="multilevel"/>
    <w:tmpl w:val="1A84A62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vertAlign w:val="superscript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387AD3"/>
    <w:multiLevelType w:val="multilevel"/>
    <w:tmpl w:val="7E5AC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DD05C0"/>
    <w:multiLevelType w:val="multilevel"/>
    <w:tmpl w:val="6C3EF5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36489"/>
    <w:multiLevelType w:val="multilevel"/>
    <w:tmpl w:val="6AEEC7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5F5C0E"/>
    <w:multiLevelType w:val="multilevel"/>
    <w:tmpl w:val="B5749FA8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282E0D"/>
    <w:multiLevelType w:val="multilevel"/>
    <w:tmpl w:val="A6F81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016A04"/>
    <w:multiLevelType w:val="multilevel"/>
    <w:tmpl w:val="C02A8C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7B5E41"/>
    <w:multiLevelType w:val="multilevel"/>
    <w:tmpl w:val="65C0DCA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8677E4"/>
    <w:multiLevelType w:val="multilevel"/>
    <w:tmpl w:val="64021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B86B44"/>
    <w:multiLevelType w:val="multilevel"/>
    <w:tmpl w:val="D8A82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B25EBF"/>
    <w:multiLevelType w:val="multilevel"/>
    <w:tmpl w:val="0FCC5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2441B0"/>
    <w:multiLevelType w:val="multilevel"/>
    <w:tmpl w:val="73B2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0E2376"/>
    <w:multiLevelType w:val="multilevel"/>
    <w:tmpl w:val="24B6B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1C6CDC"/>
    <w:multiLevelType w:val="multilevel"/>
    <w:tmpl w:val="E5A457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D05222D"/>
    <w:multiLevelType w:val="multilevel"/>
    <w:tmpl w:val="C0B2FC3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4523567"/>
    <w:multiLevelType w:val="multilevel"/>
    <w:tmpl w:val="989408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D3046F"/>
    <w:multiLevelType w:val="multilevel"/>
    <w:tmpl w:val="946C76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BD1843"/>
    <w:multiLevelType w:val="multilevel"/>
    <w:tmpl w:val="E53CB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2D4F03"/>
    <w:multiLevelType w:val="multilevel"/>
    <w:tmpl w:val="BFFCB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9"/>
  </w:num>
  <w:num w:numId="3">
    <w:abstractNumId w:val="5"/>
  </w:num>
  <w:num w:numId="4">
    <w:abstractNumId w:val="25"/>
  </w:num>
  <w:num w:numId="5">
    <w:abstractNumId w:val="15"/>
  </w:num>
  <w:num w:numId="6">
    <w:abstractNumId w:val="27"/>
  </w:num>
  <w:num w:numId="7">
    <w:abstractNumId w:val="0"/>
  </w:num>
  <w:num w:numId="8">
    <w:abstractNumId w:val="14"/>
  </w:num>
  <w:num w:numId="9">
    <w:abstractNumId w:val="10"/>
  </w:num>
  <w:num w:numId="10">
    <w:abstractNumId w:val="26"/>
  </w:num>
  <w:num w:numId="11">
    <w:abstractNumId w:val="8"/>
  </w:num>
  <w:num w:numId="12">
    <w:abstractNumId w:val="18"/>
  </w:num>
  <w:num w:numId="13">
    <w:abstractNumId w:val="21"/>
  </w:num>
  <w:num w:numId="14">
    <w:abstractNumId w:val="17"/>
  </w:num>
  <w:num w:numId="15">
    <w:abstractNumId w:val="11"/>
  </w:num>
  <w:num w:numId="16">
    <w:abstractNumId w:val="22"/>
  </w:num>
  <w:num w:numId="17">
    <w:abstractNumId w:val="13"/>
  </w:num>
  <w:num w:numId="18">
    <w:abstractNumId w:val="16"/>
  </w:num>
  <w:num w:numId="19">
    <w:abstractNumId w:val="1"/>
  </w:num>
  <w:num w:numId="20">
    <w:abstractNumId w:val="7"/>
  </w:num>
  <w:num w:numId="21">
    <w:abstractNumId w:val="19"/>
  </w:num>
  <w:num w:numId="22">
    <w:abstractNumId w:val="20"/>
  </w:num>
  <w:num w:numId="23">
    <w:abstractNumId w:val="6"/>
  </w:num>
  <w:num w:numId="24">
    <w:abstractNumId w:val="23"/>
  </w:num>
  <w:num w:numId="25">
    <w:abstractNumId w:val="4"/>
  </w:num>
  <w:num w:numId="26">
    <w:abstractNumId w:val="12"/>
  </w:num>
  <w:num w:numId="27">
    <w:abstractNumId w:val="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74E4"/>
    <w:rsid w:val="002E46F8"/>
    <w:rsid w:val="002E66C6"/>
    <w:rsid w:val="0039236D"/>
    <w:rsid w:val="003F6404"/>
    <w:rsid w:val="003F6A72"/>
    <w:rsid w:val="004F3A95"/>
    <w:rsid w:val="005D669A"/>
    <w:rsid w:val="006C4DEE"/>
    <w:rsid w:val="00965EF7"/>
    <w:rsid w:val="00D774E4"/>
    <w:rsid w:val="00DC490D"/>
    <w:rsid w:val="00DD6387"/>
    <w:rsid w:val="00EF6F7F"/>
    <w:rsid w:val="00F32EF6"/>
    <w:rsid w:val="00F40EA0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74E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74E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Bodytext285pt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2">
    <w:name w:val="Heading #1 (2)_"/>
    <w:basedOn w:val="DefaultParagraphFont"/>
    <w:link w:val="Heading12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2">
    <w:name w:val="Table caption (2)_"/>
    <w:basedOn w:val="DefaultParagraphFont"/>
    <w:link w:val="Tablecaption2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DefaultParagraphFont"/>
    <w:link w:val="Bodytext70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3">
    <w:name w:val="Table caption (3)_"/>
    <w:basedOn w:val="DefaultParagraphFont"/>
    <w:link w:val="Tablecaption3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Bold1">
    <w:name w:val="Body text (2) + Bold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Spacing2pt">
    <w:name w:val="Table caption (2) + Spacing 2 pt"/>
    <w:basedOn w:val="Tablecaption2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1pt">
    <w:name w:val="Body text (4) + Spacing 1 pt"/>
    <w:basedOn w:val="Bodytext4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TablecaptionSpacing5pt">
    <w:name w:val="Table caption + Spacing 5 pt"/>
    <w:basedOn w:val="Tablecaption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6">
    <w:name w:val="Table caption (6)_"/>
    <w:basedOn w:val="DefaultParagraphFont"/>
    <w:link w:val="Tablecaption60"/>
    <w:rsid w:val="00D7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5pt0">
    <w:name w:val="Body text (2) + 8.5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Tablecaption7">
    <w:name w:val="Table caption (7)_"/>
    <w:basedOn w:val="DefaultParagraphFont"/>
    <w:link w:val="Tablecaption70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8">
    <w:name w:val="Table caption (8)_"/>
    <w:basedOn w:val="DefaultParagraphFont"/>
    <w:link w:val="Tablecaption80"/>
    <w:rsid w:val="00D774E4"/>
    <w:rPr>
      <w:rFonts w:ascii="Verdana" w:eastAsia="Verdana" w:hAnsi="Verdana" w:cs="Verdana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2Tahoma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1">
    <w:name w:val="Body text (2) + Tahoma"/>
    <w:aliases w:val="12 pt"/>
    <w:basedOn w:val="Bodytext2"/>
    <w:rsid w:val="00D774E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Tahoma2">
    <w:name w:val="Body text (2) + Tahoma"/>
    <w:aliases w:val="12 pt"/>
    <w:basedOn w:val="Bodytext2"/>
    <w:rsid w:val="00D774E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mpact">
    <w:name w:val="Body text (2) + Impact"/>
    <w:aliases w:val="9.5 pt"/>
    <w:basedOn w:val="Bodytext2"/>
    <w:rsid w:val="00D774E4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3pt">
    <w:name w:val="Body text (2) + 13 pt"/>
    <w:aliases w:val="Italic"/>
    <w:basedOn w:val="Bodytext2"/>
    <w:rsid w:val="00D774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Verdana">
    <w:name w:val="Body text (2) + Verdana"/>
    <w:aliases w:val="4 pt"/>
    <w:basedOn w:val="Bodytext2"/>
    <w:rsid w:val="00D774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D7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774E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D774E4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D774E4"/>
    <w:pPr>
      <w:shd w:val="clear" w:color="auto" w:fill="FFFFFF"/>
      <w:spacing w:before="300" w:line="342" w:lineRule="exact"/>
      <w:jc w:val="center"/>
    </w:pPr>
    <w:rPr>
      <w:rFonts w:ascii="Times New Roman" w:eastAsia="Times New Roman" w:hAnsi="Times New Roman" w:cs="Times New Roman"/>
      <w:b/>
      <w:bCs/>
      <w:spacing w:val="50"/>
      <w:sz w:val="30"/>
      <w:szCs w:val="30"/>
    </w:rPr>
  </w:style>
  <w:style w:type="paragraph" w:customStyle="1" w:styleId="Footnote0">
    <w:name w:val="Footnote"/>
    <w:basedOn w:val="Normal"/>
    <w:link w:val="Footnote"/>
    <w:rsid w:val="00D774E4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774E4"/>
    <w:pPr>
      <w:shd w:val="clear" w:color="auto" w:fill="FFFFFF"/>
      <w:spacing w:after="300"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20">
    <w:name w:val="Heading #1 (2)"/>
    <w:basedOn w:val="Normal"/>
    <w:link w:val="Heading12"/>
    <w:rsid w:val="00D774E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60">
    <w:name w:val="Body text (6)"/>
    <w:basedOn w:val="Normal"/>
    <w:link w:val="Bodytext6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70">
    <w:name w:val="Body text (7)"/>
    <w:basedOn w:val="Normal"/>
    <w:link w:val="Bodytext7"/>
    <w:rsid w:val="00D774E4"/>
    <w:pPr>
      <w:shd w:val="clear" w:color="auto" w:fill="FFFFFF"/>
      <w:spacing w:line="0" w:lineRule="atLeast"/>
    </w:pPr>
    <w:rPr>
      <w:rFonts w:ascii="Impact" w:eastAsia="Impact" w:hAnsi="Impact" w:cs="Impact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50">
    <w:name w:val="Table caption (5)"/>
    <w:basedOn w:val="Normal"/>
    <w:link w:val="Tablecaption5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60">
    <w:name w:val="Table caption (6)"/>
    <w:basedOn w:val="Normal"/>
    <w:link w:val="Tablecaption6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Tablecaption70">
    <w:name w:val="Table caption (7)"/>
    <w:basedOn w:val="Normal"/>
    <w:link w:val="Tablecaption7"/>
    <w:rsid w:val="00D774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0"/>
      <w:sz w:val="30"/>
      <w:szCs w:val="30"/>
    </w:rPr>
  </w:style>
  <w:style w:type="paragraph" w:customStyle="1" w:styleId="Tablecaption80">
    <w:name w:val="Table caption (8)"/>
    <w:basedOn w:val="Normal"/>
    <w:link w:val="Tablecaption8"/>
    <w:rsid w:val="00D774E4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2018-05-29T05:35:00Z</dcterms:created>
  <dcterms:modified xsi:type="dcterms:W3CDTF">2019-03-15T07:08:00Z</dcterms:modified>
</cp:coreProperties>
</file>