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73B5D">
        <w:rPr>
          <w:rFonts w:ascii="Sylfaen" w:hAnsi="Sylfaen"/>
          <w:sz w:val="24"/>
          <w:szCs w:val="24"/>
        </w:rPr>
        <w:t>ПРИЛОЖЕНИЕ</w:t>
      </w: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к Рекомендации Коллегии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от 29 ноября 2016 г. № 23</w:t>
      </w:r>
    </w:p>
    <w:p w:rsidR="00E73B5D" w:rsidRDefault="00E73B5D" w:rsidP="00E73B5D">
      <w:pPr>
        <w:pStyle w:val="Bodytext30"/>
        <w:shd w:val="clear" w:color="auto" w:fill="auto"/>
        <w:spacing w:line="240" w:lineRule="auto"/>
        <w:ind w:firstLine="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881C58" w:rsidRPr="00E73B5D" w:rsidRDefault="00161461" w:rsidP="00E73B5D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E73B5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881C58" w:rsidRPr="00E73B5D" w:rsidRDefault="00161461" w:rsidP="00E73B5D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вносимые в Пояснения к единой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Товарной номенклатуре внешнеэкономической деятельности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E73B5D" w:rsidRDefault="00E73B5D" w:rsidP="00E73B5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1. В томе 1:</w:t>
      </w:r>
    </w:p>
    <w:p w:rsidR="00881C58" w:rsidRPr="00E73B5D" w:rsidRDefault="00E73B5D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последний абзац пункта (1) части (X) пояснений к Правилу 3 (б)</w:t>
      </w:r>
      <w:r w:rsidRPr="00E73B5D"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дополнить предложением следующего содержания: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«Это также</w:t>
      </w:r>
      <w:r w:rsidRPr="00E73B5D"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применимо, например, для растворимого кофе в стеклянной банке (товарная позиция 2101), керамической чашки (товарная позиция 6912) и керамического блюдца (товарная позиция 6912) расфасованных вместе для розничной продажи в картонную коробку.»;</w:t>
      </w:r>
    </w:p>
    <w:p w:rsidR="00881C58" w:rsidRPr="00E73B5D" w:rsidRDefault="00E73B5D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абзац третий общих положений пояснений к группе 03 ТН ВЭД ЕАЭС изложить в следующей редакции:</w:t>
      </w: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 xml:space="preserve">«В данную группу включаются также пищевые икра и молоки рыб, неприготовленные или неконсервированные, или приготовленные или консервированные способами, предусмотренными в данной группе. Приготовленные или консервированные другим способом пищевые икра и молоки рыб, или пищевые икра и молоки рыб, пригодные для непосредственного употребления в пищу в качестве икры осетровых или заменителей икры осетровых включаются в </w:t>
      </w:r>
      <w:r w:rsidRPr="00E73B5D">
        <w:rPr>
          <w:rStyle w:val="Bodytext2Bold"/>
          <w:rFonts w:ascii="Sylfaen" w:hAnsi="Sylfaen"/>
          <w:sz w:val="24"/>
          <w:szCs w:val="24"/>
        </w:rPr>
        <w:t>товарную позицию 1604.»;</w:t>
      </w:r>
    </w:p>
    <w:p w:rsidR="00881C58" w:rsidRPr="00E73B5D" w:rsidRDefault="00E73B5D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в пояснениях к товарной позиции 0511 ТН ВЭД ЕАЭС:</w:t>
      </w: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а) в пункте (6) (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E73B5D">
        <w:rPr>
          <w:rFonts w:ascii="Sylfaen" w:hAnsi="Sylfaen"/>
          <w:sz w:val="24"/>
          <w:szCs w:val="24"/>
        </w:rPr>
        <w:t>) слова «пузыри рыб» заменить словами «плавательные пузыри рыб»;</w:t>
      </w: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б)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в исключении (а) после пункта (6) слова «пузыри рыб» заменить словами «плавательные пузыри»;</w:t>
      </w:r>
    </w:p>
    <w:p w:rsidR="00881C58" w:rsidRPr="00E73B5D" w:rsidRDefault="00E73B5D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 xml:space="preserve"> в абзаце первом пояснений к товарной позиции 0712 ТН ВЭД ЕАЭС код «0709» ТН ВЭД ЕАЭС заменить кодом «0711» ТН ВЭД ЕАЭС;</w:t>
      </w:r>
    </w:p>
    <w:p w:rsidR="00881C58" w:rsidRPr="00E73B5D" w:rsidRDefault="00E73B5D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в пояснениях к товарной позиции 1509 ТН ВЭД ЕАЭС абзацы после пункта (В) изложить в следующей редакции:</w:t>
      </w: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«Оливковое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масло первого (холодного) прессования,</w:t>
      </w:r>
      <w:r w:rsidR="00E73B5D" w:rsidRP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рассмотренное в пункте (А), можно отличить от масел, рассмотренных в пунктах (Б) и (В), в соответствии со стандартом 33-1981 Кодекса Алиментариус.</w:t>
      </w: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 xml:space="preserve">Оливковое масло данной товарной позиции можно отличить от оливкового </w:t>
      </w:r>
      <w:r w:rsidRPr="00E73B5D">
        <w:rPr>
          <w:rFonts w:ascii="Sylfaen" w:hAnsi="Sylfaen"/>
          <w:sz w:val="24"/>
          <w:szCs w:val="24"/>
        </w:rPr>
        <w:lastRenderedPageBreak/>
        <w:t>масла товарной позиции 1510 по отрицательной реакции Белье.</w:t>
      </w: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В некоторых случаях наличие остаточного оливкового масла можно установить только при исследовании тритерпеновых диолов в неомыляемой фракции.</w:t>
      </w: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Style w:val="Bodytext2Bold"/>
          <w:rFonts w:ascii="Sylfaen" w:hAnsi="Sylfaen"/>
          <w:b w:val="0"/>
          <w:sz w:val="24"/>
          <w:szCs w:val="24"/>
        </w:rPr>
        <w:t xml:space="preserve">В </w:t>
      </w:r>
      <w:r w:rsidRPr="00E73B5D">
        <w:rPr>
          <w:rFonts w:ascii="Sylfaen" w:hAnsi="Sylfaen"/>
          <w:sz w:val="24"/>
          <w:szCs w:val="24"/>
        </w:rPr>
        <w:t xml:space="preserve">данную товарную позицию </w:t>
      </w:r>
      <w:r w:rsidRPr="00E73B5D">
        <w:rPr>
          <w:rStyle w:val="Bodytext2Bold"/>
          <w:rFonts w:ascii="Sylfaen" w:hAnsi="Sylfaen"/>
          <w:sz w:val="24"/>
          <w:szCs w:val="24"/>
        </w:rPr>
        <w:t xml:space="preserve">не включаются </w:t>
      </w:r>
      <w:r w:rsidRPr="00E73B5D">
        <w:rPr>
          <w:rFonts w:ascii="Sylfaen" w:hAnsi="Sylfaen"/>
          <w:sz w:val="24"/>
          <w:szCs w:val="24"/>
        </w:rPr>
        <w:t xml:space="preserve">остаточное оливковое масло и его смеси с оливковым маслом </w:t>
      </w:r>
      <w:r w:rsidRPr="00E73B5D">
        <w:rPr>
          <w:rStyle w:val="Bodytext2Bold"/>
          <w:rFonts w:ascii="Sylfaen" w:hAnsi="Sylfaen"/>
          <w:sz w:val="24"/>
          <w:szCs w:val="24"/>
        </w:rPr>
        <w:t xml:space="preserve">(товарная позиция 1510) </w:t>
      </w:r>
      <w:r w:rsidRPr="00E73B5D">
        <w:rPr>
          <w:rFonts w:ascii="Sylfaen" w:hAnsi="Sylfaen"/>
          <w:sz w:val="24"/>
          <w:szCs w:val="24"/>
        </w:rPr>
        <w:t xml:space="preserve">или реэтерифицированное масло, получаемое из оливкового масла </w:t>
      </w:r>
      <w:r w:rsidRPr="00E73B5D">
        <w:rPr>
          <w:rStyle w:val="Bodytext2Bold"/>
          <w:rFonts w:ascii="Sylfaen" w:hAnsi="Sylfaen"/>
          <w:sz w:val="24"/>
          <w:szCs w:val="24"/>
        </w:rPr>
        <w:t>(товарная позиция 1516).»;</w:t>
      </w:r>
    </w:p>
    <w:p w:rsidR="00881C58" w:rsidRPr="00E73B5D" w:rsidRDefault="00E73B5D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исключение (а) в пояснениях к товарной позиции 1604 ТН ВЭД ЕАЭС изложить в следующей редакции:</w:t>
      </w: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 xml:space="preserve">«(а) икра рыб, то есть, икринки рыб и молоки, неприготовленные или неконсервированные, или приготовленные или консервированные только способами, предусмотренными в группе 03, кроме пригодных для непосредственного употребления в пищу, таких как икра осетровых или заменители икры осетровых </w:t>
      </w:r>
      <w:r w:rsidRPr="00E73B5D">
        <w:rPr>
          <w:rStyle w:val="Bodytext2Bold"/>
          <w:rFonts w:ascii="Sylfaen" w:hAnsi="Sylfaen"/>
          <w:sz w:val="24"/>
          <w:szCs w:val="24"/>
        </w:rPr>
        <w:t>(группа 03).»;</w:t>
      </w:r>
    </w:p>
    <w:p w:rsidR="00881C58" w:rsidRPr="00E73B5D" w:rsidRDefault="00E73B5D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после подпункта (в) пункта 9 пояснения к товарной позиции 1704 ТН ВЭД ЕАЭС дополнить пунктом (10) следующего содержания:</w:t>
      </w: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«(10) Продукты на основе натурального меда, приготовленные в виде кондитерских изделий из сахара (например, "халва").»;</w:t>
      </w:r>
    </w:p>
    <w:p w:rsidR="00881C58" w:rsidRPr="00E73B5D" w:rsidRDefault="00E73B5D" w:rsidP="00E73B5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перед последним абзацем пояснений к товарной позиции 2008 ТН ВЭД ЕАЭС дополнить абзацем следующего содержания: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Style w:val="Bodytext2Bold"/>
          <w:rFonts w:ascii="Sylfaen" w:hAnsi="Sylfaen"/>
          <w:b w:val="0"/>
          <w:sz w:val="24"/>
          <w:szCs w:val="24"/>
        </w:rPr>
        <w:t>«В</w:t>
      </w:r>
      <w:r w:rsidRPr="00E73B5D">
        <w:rPr>
          <w:rStyle w:val="Bodytext2Bold"/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 xml:space="preserve">данную товарную позицию </w:t>
      </w:r>
      <w:r w:rsidRPr="00E73B5D">
        <w:rPr>
          <w:rStyle w:val="Bodytext2Bold"/>
          <w:rFonts w:ascii="Sylfaen" w:hAnsi="Sylfaen"/>
          <w:sz w:val="24"/>
          <w:szCs w:val="24"/>
        </w:rPr>
        <w:t xml:space="preserve">не включаются </w:t>
      </w:r>
      <w:r w:rsidRPr="00E73B5D">
        <w:rPr>
          <w:rFonts w:ascii="Sylfaen" w:hAnsi="Sylfaen"/>
          <w:sz w:val="24"/>
          <w:szCs w:val="24"/>
        </w:rPr>
        <w:t xml:space="preserve">фрукты, орехи или другие пригодные в пищу части растений, переработанные в кондитерские изделия из сахара (включая на основе натурального меда) </w:t>
      </w:r>
      <w:r w:rsidRPr="00E73B5D">
        <w:rPr>
          <w:rStyle w:val="Bodytext2Bold"/>
          <w:rFonts w:ascii="Sylfaen" w:hAnsi="Sylfaen"/>
          <w:sz w:val="24"/>
          <w:szCs w:val="24"/>
        </w:rPr>
        <w:t>товарной позиции 1704.»;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исключение (б) пояснений к товарной позиции 2501 ТН ВЭД ЕАЭС изложить в следующей редакции: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 xml:space="preserve">«(б) растворы хлорида натрия, включая морскую воду, помещенные в ампулы, и хлорид натрия, упакованный другим способом, представленные как лекарственные средства </w:t>
      </w:r>
      <w:r w:rsidRPr="00E73B5D">
        <w:rPr>
          <w:rStyle w:val="Bodytext2Bold"/>
          <w:rFonts w:ascii="Sylfaen" w:hAnsi="Sylfaen"/>
          <w:sz w:val="24"/>
          <w:szCs w:val="24"/>
        </w:rPr>
        <w:t xml:space="preserve">(группа 30), </w:t>
      </w:r>
      <w:r w:rsidRPr="00E73B5D">
        <w:rPr>
          <w:rFonts w:ascii="Sylfaen" w:hAnsi="Sylfaen"/>
          <w:sz w:val="24"/>
          <w:szCs w:val="24"/>
        </w:rPr>
        <w:t xml:space="preserve">а также растворы хлорида натрия, расфасованные для гигиенических целей в упаковки для розничной продажи, кроме медицинских или фармацевтических средств, стерильные или не стерильные </w:t>
      </w:r>
      <w:r w:rsidRPr="00E73B5D">
        <w:rPr>
          <w:rStyle w:val="Bodytext2Bold"/>
          <w:rFonts w:ascii="Sylfaen" w:hAnsi="Sylfaen"/>
          <w:sz w:val="24"/>
          <w:szCs w:val="24"/>
        </w:rPr>
        <w:t>(товарная позиция 3307);»;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часть (А) пояснений к товарной позиции 2817 ТН ВЭД ЕАЭС изложить в следующей редакции:</w:t>
      </w:r>
    </w:p>
    <w:p w:rsidR="00881C58" w:rsidRPr="00E73B5D" w:rsidRDefault="00161461" w:rsidP="00470D28">
      <w:pPr>
        <w:pStyle w:val="Bodytext3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3B5D">
        <w:rPr>
          <w:rStyle w:val="Bodytext3NotBold"/>
          <w:rFonts w:ascii="Sylfaen" w:hAnsi="Sylfaen"/>
          <w:sz w:val="24"/>
          <w:szCs w:val="24"/>
        </w:rPr>
        <w:t xml:space="preserve">«Часть (А) </w:t>
      </w:r>
      <w:r w:rsidRPr="00E73B5D">
        <w:rPr>
          <w:rFonts w:ascii="Sylfaen" w:hAnsi="Sylfaen"/>
          <w:sz w:val="24"/>
          <w:szCs w:val="24"/>
        </w:rPr>
        <w:t>ОКСИД ЦИНКА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Style w:val="Bodytext2Bold"/>
          <w:rFonts w:ascii="Sylfaen" w:hAnsi="Sylfaen"/>
          <w:sz w:val="24"/>
          <w:szCs w:val="24"/>
        </w:rPr>
        <w:t xml:space="preserve">Оксид цинка </w:t>
      </w:r>
      <w:r w:rsidRPr="00E73B5D">
        <w:rPr>
          <w:rFonts w:ascii="Sylfaen" w:hAnsi="Sylfaen"/>
          <w:sz w:val="24"/>
          <w:szCs w:val="24"/>
        </w:rPr>
        <w:t xml:space="preserve">(цинковые белила) </w:t>
      </w:r>
      <w:r w:rsidRPr="00E73B5D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E73B5D">
        <w:rPr>
          <w:rFonts w:ascii="Sylfaen" w:hAnsi="Sylfaen"/>
          <w:sz w:val="24"/>
          <w:szCs w:val="24"/>
          <w:lang w:val="en-US" w:eastAsia="en-US" w:bidi="en-US"/>
        </w:rPr>
        <w:t>ZnO</w:t>
      </w:r>
      <w:proofErr w:type="spellEnd"/>
      <w:r w:rsidRPr="00E73B5D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E73B5D">
        <w:rPr>
          <w:rFonts w:ascii="Sylfaen" w:hAnsi="Sylfaen"/>
          <w:sz w:val="24"/>
          <w:szCs w:val="24"/>
        </w:rPr>
        <w:t xml:space="preserve">получают путем сжигания паров цинка кислородом воздуха. Пары цинка получают выпариванием металлического цинка (косвенный или французский процесс) или путем восстановления оксидного цинкового сырья, например, цинковых руд (обожженный сфалерит, каламин - </w:t>
      </w:r>
      <w:r w:rsidRPr="00E73B5D">
        <w:rPr>
          <w:rStyle w:val="Bodytext2Bold"/>
          <w:rFonts w:ascii="Sylfaen" w:hAnsi="Sylfaen"/>
          <w:sz w:val="24"/>
          <w:szCs w:val="24"/>
        </w:rPr>
        <w:t xml:space="preserve">товарная позиция 2608) </w:t>
      </w:r>
      <w:r w:rsidRPr="00E73B5D">
        <w:rPr>
          <w:rFonts w:ascii="Sylfaen" w:hAnsi="Sylfaen"/>
          <w:sz w:val="24"/>
          <w:szCs w:val="24"/>
        </w:rPr>
        <w:t xml:space="preserve">углеродом (прямой или американский процесс). В этих процессах оксид собирается в пылеуловительные камеры с рукавными фильтрами </w:t>
      </w:r>
      <w:r w:rsidRPr="00E73B5D">
        <w:rPr>
          <w:rFonts w:ascii="Sylfaen" w:hAnsi="Sylfaen"/>
          <w:sz w:val="24"/>
          <w:szCs w:val="24"/>
        </w:rPr>
        <w:lastRenderedPageBreak/>
        <w:t>или камеры формирования отложений оксидов с возрастанием степени чистоты.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 xml:space="preserve">В мокрых процессах цинк выщелачивают из цинкового сырья, а затем осаждают в виде гидроксида цинка или карбоната цинка. Осадок фильтруют, промывают, сушат и прокаливают в </w:t>
      </w:r>
      <w:proofErr w:type="spellStart"/>
      <w:r w:rsidRPr="00E73B5D">
        <w:rPr>
          <w:rFonts w:ascii="Sylfaen" w:hAnsi="Sylfaen"/>
          <w:sz w:val="24"/>
          <w:szCs w:val="24"/>
          <w:lang w:val="en-US" w:eastAsia="en-US" w:bidi="en-US"/>
        </w:rPr>
        <w:t>ZnO</w:t>
      </w:r>
      <w:proofErr w:type="spellEnd"/>
      <w:r w:rsidRPr="00E73B5D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E73B5D">
        <w:rPr>
          <w:rFonts w:ascii="Sylfaen" w:hAnsi="Sylfaen"/>
          <w:sz w:val="24"/>
          <w:szCs w:val="24"/>
        </w:rPr>
        <w:t>Оксид цинка представляет собой белый мелкий порошок, который при нагревании желтеет. Он имеет амфотерную природу, растворим в кислотах и щелочах.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Оксид цинка используется в основном в промышленных красках. Он также используется при производстве резины, керамики, стекла, электроники и фармацевтики. Оксид цинка также является сырьем для производства широкого спектра неорганических и органических солей, используемых при производстве пластмасс.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Цинкаты товарной позиции 2841 соответствуют этому амфотерному оксиду.»;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в абзаце после подпункта (а) пункта (1) части (А) пояснений к товарной позиции 2833 ТН ВЭД ЕАЭС: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слово «полигалит» исключить;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после слова «бледит,» дополнить словом «реуссин,».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2. В томе 2: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абзацы первый и второй части (Г) пояснений к товарной позиции 2909 ТН ВЭД ЕАЭС изложить в следующей редакции: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 xml:space="preserve">«Соединения типов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ROOH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ROOR</w:t>
      </w:r>
      <w:r w:rsidRPr="00E73B5D">
        <w:rPr>
          <w:rFonts w:ascii="Sylfaen" w:hAnsi="Sylfaen"/>
          <w:sz w:val="24"/>
          <w:szCs w:val="24"/>
          <w:vertAlign w:val="superscript"/>
          <w:lang w:eastAsia="en-US" w:bidi="en-US"/>
        </w:rPr>
        <w:t>1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3B5D">
        <w:rPr>
          <w:rFonts w:ascii="Sylfaen" w:hAnsi="Sylfaen"/>
          <w:sz w:val="24"/>
          <w:szCs w:val="24"/>
        </w:rPr>
        <w:t xml:space="preserve">и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ROOR</w:t>
      </w:r>
      <w:r w:rsidRPr="00E73B5D">
        <w:rPr>
          <w:rFonts w:ascii="Sylfaen" w:hAnsi="Sylfaen"/>
          <w:sz w:val="24"/>
          <w:szCs w:val="24"/>
          <w:vertAlign w:val="superscript"/>
          <w:lang w:eastAsia="en-US" w:bidi="en-US"/>
        </w:rPr>
        <w:t>2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OOR</w:t>
      </w:r>
      <w:r w:rsidRPr="00E73B5D">
        <w:rPr>
          <w:rFonts w:ascii="Sylfaen" w:hAnsi="Sylfaen"/>
          <w:sz w:val="24"/>
          <w:szCs w:val="24"/>
          <w:vertAlign w:val="superscript"/>
          <w:lang w:eastAsia="en-US" w:bidi="en-US"/>
        </w:rPr>
        <w:t>1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73B5D">
        <w:rPr>
          <w:rFonts w:ascii="Sylfaen" w:hAnsi="Sylfaen"/>
          <w:sz w:val="24"/>
          <w:szCs w:val="24"/>
        </w:rPr>
        <w:t xml:space="preserve">в которых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E73B5D">
        <w:rPr>
          <w:rFonts w:ascii="Sylfaen" w:hAnsi="Sylfaen"/>
          <w:sz w:val="24"/>
          <w:szCs w:val="24"/>
          <w:vertAlign w:val="superscript"/>
          <w:lang w:eastAsia="en-US" w:bidi="en-US"/>
        </w:rPr>
        <w:t>1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3B5D">
        <w:rPr>
          <w:rFonts w:ascii="Sylfaen" w:hAnsi="Sylfaen"/>
          <w:sz w:val="24"/>
          <w:szCs w:val="24"/>
        </w:rPr>
        <w:t xml:space="preserve">и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E73B5D">
        <w:rPr>
          <w:rFonts w:ascii="Sylfaen" w:hAnsi="Sylfaen"/>
          <w:sz w:val="24"/>
          <w:szCs w:val="24"/>
          <w:vertAlign w:val="superscript"/>
          <w:lang w:eastAsia="en-US" w:bidi="en-US"/>
        </w:rPr>
        <w:t>2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3B5D">
        <w:rPr>
          <w:rFonts w:ascii="Sylfaen" w:hAnsi="Sylfaen"/>
          <w:sz w:val="24"/>
          <w:szCs w:val="24"/>
        </w:rPr>
        <w:t xml:space="preserve">являются органическими радикалами и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3B5D">
        <w:rPr>
          <w:rFonts w:ascii="Sylfaen" w:hAnsi="Sylfaen"/>
          <w:sz w:val="24"/>
          <w:szCs w:val="24"/>
        </w:rPr>
        <w:t xml:space="preserve">и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E73B5D">
        <w:rPr>
          <w:rFonts w:ascii="Sylfaen" w:hAnsi="Sylfaen"/>
          <w:sz w:val="24"/>
          <w:szCs w:val="24"/>
          <w:vertAlign w:val="superscript"/>
          <w:lang w:eastAsia="en-US" w:bidi="en-US"/>
        </w:rPr>
        <w:t>1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3B5D">
        <w:rPr>
          <w:rFonts w:ascii="Sylfaen" w:hAnsi="Sylfaen"/>
          <w:sz w:val="24"/>
          <w:szCs w:val="24"/>
        </w:rPr>
        <w:t>могут быть одинаковыми или различными.</w:t>
      </w:r>
    </w:p>
    <w:p w:rsidR="00881C58" w:rsidRPr="00E73B5D" w:rsidRDefault="00161461" w:rsidP="00470D28">
      <w:pPr>
        <w:pStyle w:val="Bodytext3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3B5D">
        <w:rPr>
          <w:rStyle w:val="Bodytext3NotBold"/>
          <w:rFonts w:ascii="Sylfaen" w:hAnsi="Sylfaen"/>
          <w:sz w:val="24"/>
          <w:szCs w:val="24"/>
        </w:rPr>
        <w:t xml:space="preserve">Примерами являются </w:t>
      </w:r>
      <w:r w:rsidRPr="00E73B5D">
        <w:rPr>
          <w:rFonts w:ascii="Sylfaen" w:hAnsi="Sylfaen"/>
          <w:sz w:val="24"/>
          <w:szCs w:val="24"/>
        </w:rPr>
        <w:t xml:space="preserve">этилгидропероксид, диэтилпероксид </w:t>
      </w:r>
      <w:r w:rsidRPr="00E73B5D">
        <w:rPr>
          <w:rStyle w:val="Bodytext3NotBold"/>
          <w:rFonts w:ascii="Sylfaen" w:hAnsi="Sylfaen"/>
          <w:sz w:val="24"/>
          <w:szCs w:val="24"/>
        </w:rPr>
        <w:t xml:space="preserve">и </w:t>
      </w:r>
      <w:r w:rsidRPr="00E73B5D">
        <w:rPr>
          <w:rFonts w:ascii="Sylfaen" w:hAnsi="Sylfaen"/>
          <w:sz w:val="24"/>
          <w:szCs w:val="24"/>
        </w:rPr>
        <w:t>1Д-ди(трет-бутилперокси)циклогексан.»;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в общих положениях пояснений к подгруппе VII группы 29 ТН ВЭД ЕАЭС: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часть (В) изложить в следующей редакции:</w:t>
      </w:r>
    </w:p>
    <w:p w:rsidR="00470D28" w:rsidRDefault="00470D28" w:rsidP="00E73B5D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881C58" w:rsidRDefault="00161461" w:rsidP="00E73B5D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  <w:lang w:val="en-US"/>
        </w:rPr>
      </w:pPr>
      <w:r w:rsidRPr="00E73B5D">
        <w:rPr>
          <w:rFonts w:ascii="Sylfaen" w:hAnsi="Sylfaen"/>
          <w:sz w:val="24"/>
          <w:szCs w:val="24"/>
        </w:rPr>
        <w:t>«(В) ПЕРОКСИДЫ КИСЛОТ</w:t>
      </w:r>
    </w:p>
    <w:p w:rsidR="00470D28" w:rsidRPr="00470D28" w:rsidRDefault="00470D28" w:rsidP="00E73B5D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 xml:space="preserve">Пероксиды кислот, также известные как диацилпероксиды, представляют собой соединения, в которых два ацильных радикала связаны двумя атомами кислорода; их общая формула имеет следующий вид </w:t>
      </w:r>
      <w:r w:rsidRPr="00E73B5D">
        <w:rPr>
          <w:rFonts w:ascii="Sylfaen" w:hAnsi="Sylfaen"/>
          <w:sz w:val="24"/>
          <w:szCs w:val="24"/>
          <w:lang w:eastAsia="en-US" w:bidi="en-US"/>
        </w:rPr>
        <w:t>(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E73B5D">
        <w:rPr>
          <w:rFonts w:ascii="Sylfaen" w:hAnsi="Sylfaen"/>
          <w:sz w:val="24"/>
          <w:szCs w:val="24"/>
        </w:rPr>
        <w:t>·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CO</w:t>
      </w:r>
      <w:r w:rsidRPr="00E73B5D">
        <w:rPr>
          <w:rFonts w:ascii="Sylfaen" w:hAnsi="Sylfaen"/>
          <w:sz w:val="24"/>
          <w:szCs w:val="24"/>
          <w:lang w:eastAsia="en-US" w:bidi="en-US"/>
        </w:rPr>
        <w:t>-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E73B5D">
        <w:rPr>
          <w:rFonts w:ascii="Sylfaen" w:hAnsi="Sylfaen"/>
          <w:sz w:val="24"/>
          <w:szCs w:val="24"/>
          <w:lang w:eastAsia="en-US" w:bidi="en-US"/>
        </w:rPr>
        <w:t>-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E73B5D">
        <w:rPr>
          <w:rFonts w:ascii="Sylfaen" w:hAnsi="Sylfaen"/>
          <w:sz w:val="24"/>
          <w:szCs w:val="24"/>
          <w:lang w:eastAsia="en-US" w:bidi="en-US"/>
        </w:rPr>
        <w:t>-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COR</w:t>
      </w:r>
      <w:r w:rsidRPr="00E73B5D">
        <w:rPr>
          <w:rFonts w:ascii="Sylfaen" w:hAnsi="Sylfaen"/>
          <w:sz w:val="24"/>
          <w:szCs w:val="24"/>
          <w:vertAlign w:val="superscript"/>
          <w:lang w:eastAsia="en-US" w:bidi="en-US"/>
        </w:rPr>
        <w:t>1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E73B5D">
        <w:rPr>
          <w:rFonts w:ascii="Sylfaen" w:hAnsi="Sylfaen"/>
          <w:sz w:val="24"/>
          <w:szCs w:val="24"/>
        </w:rPr>
        <w:t xml:space="preserve">в которой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3B5D">
        <w:rPr>
          <w:rFonts w:ascii="Sylfaen" w:hAnsi="Sylfaen"/>
          <w:sz w:val="24"/>
          <w:szCs w:val="24"/>
        </w:rPr>
        <w:t xml:space="preserve">и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E73B5D">
        <w:rPr>
          <w:rFonts w:ascii="Sylfaen" w:hAnsi="Sylfaen"/>
          <w:sz w:val="24"/>
          <w:szCs w:val="24"/>
          <w:vertAlign w:val="superscript"/>
          <w:lang w:eastAsia="en-US" w:bidi="en-US"/>
        </w:rPr>
        <w:t>1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3B5D">
        <w:rPr>
          <w:rFonts w:ascii="Sylfaen" w:hAnsi="Sylfaen"/>
          <w:sz w:val="24"/>
          <w:szCs w:val="24"/>
        </w:rPr>
        <w:t>могут быть одинаковыми или различными.»;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после части (Д) дополнить новой частью (Е) следующего содержания:</w:t>
      </w:r>
    </w:p>
    <w:p w:rsidR="00470D28" w:rsidRDefault="00470D28" w:rsidP="00E73B5D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881C58" w:rsidRPr="00E73B5D" w:rsidRDefault="00161461" w:rsidP="00E73B5D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«(Е) ПЕРОКСИЭФИРЫ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lastRenderedPageBreak/>
        <w:t xml:space="preserve">Общая формула пероксиэфиров имеет следующий вид </w:t>
      </w:r>
      <w:r w:rsidRPr="00E73B5D">
        <w:rPr>
          <w:rFonts w:ascii="Sylfaen" w:hAnsi="Sylfaen"/>
          <w:sz w:val="24"/>
          <w:szCs w:val="24"/>
          <w:lang w:eastAsia="en-US" w:bidi="en-US"/>
        </w:rPr>
        <w:t>(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RCO</w:t>
      </w:r>
      <w:r w:rsidRPr="00E73B5D">
        <w:rPr>
          <w:rFonts w:ascii="Sylfaen" w:hAnsi="Sylfaen"/>
          <w:sz w:val="24"/>
          <w:szCs w:val="24"/>
          <w:lang w:eastAsia="en-US" w:bidi="en-US"/>
        </w:rPr>
        <w:t>-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E73B5D">
        <w:rPr>
          <w:rFonts w:ascii="Sylfaen" w:hAnsi="Sylfaen"/>
          <w:sz w:val="24"/>
          <w:szCs w:val="24"/>
          <w:lang w:eastAsia="en-US" w:bidi="en-US"/>
        </w:rPr>
        <w:t>-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OR</w:t>
      </w:r>
      <w:r w:rsidRPr="00E73B5D">
        <w:rPr>
          <w:rFonts w:ascii="Sylfaen" w:hAnsi="Sylfaen"/>
          <w:sz w:val="24"/>
          <w:szCs w:val="24"/>
          <w:vertAlign w:val="superscript"/>
          <w:lang w:eastAsia="en-US" w:bidi="en-US"/>
        </w:rPr>
        <w:t>1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E73B5D">
        <w:rPr>
          <w:rFonts w:ascii="Sylfaen" w:hAnsi="Sylfaen"/>
          <w:sz w:val="24"/>
          <w:szCs w:val="24"/>
        </w:rPr>
        <w:t xml:space="preserve">в которой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3B5D">
        <w:rPr>
          <w:rFonts w:ascii="Sylfaen" w:hAnsi="Sylfaen"/>
          <w:sz w:val="24"/>
          <w:szCs w:val="24"/>
        </w:rPr>
        <w:t xml:space="preserve">и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E73B5D">
        <w:rPr>
          <w:rFonts w:ascii="Sylfaen" w:hAnsi="Sylfaen"/>
          <w:sz w:val="24"/>
          <w:szCs w:val="24"/>
          <w:vertAlign w:val="superscript"/>
          <w:lang w:eastAsia="en-US" w:bidi="en-US"/>
        </w:rPr>
        <w:t>1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3B5D">
        <w:rPr>
          <w:rFonts w:ascii="Sylfaen" w:hAnsi="Sylfaen"/>
          <w:sz w:val="24"/>
          <w:szCs w:val="24"/>
        </w:rPr>
        <w:t>являются органическими радикалами, которые могут быть одинаковыми или различными.»;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части (Е) и (Ж) считать частями (Ж) и (3) соответственно;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после пункта (4) части (Г) пояснений к товарной позиции 2920 ТН ВЭД ЕАЭС дополнить пунктом (5) следующего содержания:</w:t>
      </w:r>
    </w:p>
    <w:p w:rsidR="00881C58" w:rsidRPr="00E73B5D" w:rsidRDefault="00161461" w:rsidP="00470D28">
      <w:pPr>
        <w:pStyle w:val="Bodytext3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«(5) Трет-бутилперокси-2-этилгексилкарбонат.»;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пояснения к субпозициям пояснений к товарной позиции 2922 ТН ВЭД ЕАЭС изложить в следующей редакции:</w:t>
      </w:r>
    </w:p>
    <w:p w:rsidR="00881C58" w:rsidRPr="00E73B5D" w:rsidRDefault="00161461" w:rsidP="00470D28">
      <w:pPr>
        <w:pStyle w:val="Bodytext3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«Пояснение к субпозициям.</w:t>
      </w:r>
    </w:p>
    <w:p w:rsidR="00881C58" w:rsidRPr="00E73B5D" w:rsidRDefault="00161461" w:rsidP="00470D28">
      <w:pPr>
        <w:pStyle w:val="Bodytext3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Субпозиции 2922 11 - 2922 50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Для классификации в данных субпозициях простая эфирная или сложная эфирная функциональная группа органической или неорганической кислоты рассматривается как спиртовая, фенольная или кислотная функциональная группа в зависимости от положения кислородсодержащей функциональной группы по отношению к аминогруппе. В этих случаях должны приниматься во внимание только те кислородсодержащие функциональные группы, которые присутствуют в части молекулы, расположенной между аминной функциональной группой и атомом кислорода, принадлежащим простой эфирной или сложной эфирной функциональной группе. Сегмент, содержащий аминную функциональную группу, рассматривается как "исходный". Например, в соединении 3-(2-аминоэтокси)пропионовая кислота исходным сегментом является аминоэтанол, и карбоксильная группа для целей классификации во внимание не принимается; данное соединение как простой эфир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аминоспирта включается в субпозицию 2922 19.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Если соединение содержит две или более простые эфирные или сложные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эфирные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функциональные группы, то для целей классификации молекула разбивается на части по атому кислорода каждой простой эфирной или сложной эфирной функциональной группы и учитываются только те кислородсодержащие функциональные группы, которые находятся в том же сегменте, что и аминная функциональная группа.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Если соединение имеет две или более аминные функциональные группы, связанные с простой эфирной или сложной эфирной функциональной группой, то оно включается в субпозицию, которая является последней в порядке возрастания кодов; конкретная субпозиция определяется с учетом того, рассматривается ли простая эфирная или сложная эфирная функциональная группа как спиртовая, фенольная или кислотная функциональная группа по отношению к каждой аминной функциональной группе.»;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 xml:space="preserve">в абзаце первом части (А) пояснений к товарной позиции 2930 ТН ВЭД ЕАЭС слова 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>«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CS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>(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OR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>)(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SR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 xml:space="preserve">'), </w:t>
      </w:r>
      <w:r w:rsidR="00161461" w:rsidRPr="00E73B5D">
        <w:rPr>
          <w:rFonts w:ascii="Sylfaen" w:hAnsi="Sylfaen"/>
          <w:sz w:val="24"/>
          <w:szCs w:val="24"/>
        </w:rPr>
        <w:t xml:space="preserve">в которой 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 xml:space="preserve">- органический радикал и 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 xml:space="preserve">' </w:t>
      </w:r>
      <w:r w:rsidR="00161461" w:rsidRPr="00E73B5D">
        <w:rPr>
          <w:rFonts w:ascii="Sylfaen" w:hAnsi="Sylfaen"/>
          <w:sz w:val="24"/>
          <w:szCs w:val="24"/>
        </w:rPr>
        <w:t xml:space="preserve">- металл» </w:t>
      </w:r>
      <w:r w:rsidR="00161461" w:rsidRPr="00E73B5D">
        <w:rPr>
          <w:rFonts w:ascii="Sylfaen" w:hAnsi="Sylfaen"/>
          <w:sz w:val="24"/>
          <w:szCs w:val="24"/>
        </w:rPr>
        <w:lastRenderedPageBreak/>
        <w:t xml:space="preserve">заменить словами 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>«(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="00161461" w:rsidRPr="00E73B5D">
        <w:rPr>
          <w:rFonts w:ascii="Sylfaen" w:hAnsi="Sylfaen"/>
          <w:sz w:val="24"/>
          <w:szCs w:val="24"/>
        </w:rPr>
        <w:t>·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CO</w:t>
      </w:r>
      <w:r w:rsidR="00161461" w:rsidRPr="00E73B5D">
        <w:rPr>
          <w:rFonts w:ascii="Sylfaen" w:hAnsi="Sylfaen"/>
          <w:sz w:val="24"/>
          <w:szCs w:val="24"/>
        </w:rPr>
        <w:t>·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S</w:t>
      </w:r>
      <w:r w:rsidR="00161461" w:rsidRPr="00E73B5D">
        <w:rPr>
          <w:rFonts w:ascii="Sylfaen" w:hAnsi="Sylfaen"/>
          <w:sz w:val="24"/>
          <w:szCs w:val="24"/>
        </w:rPr>
        <w:t>·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SR</w:t>
      </w:r>
      <w:r w:rsidR="00161461" w:rsidRPr="00E73B5D">
        <w:rPr>
          <w:rFonts w:ascii="Sylfaen" w:hAnsi="Sylfaen"/>
          <w:sz w:val="24"/>
          <w:szCs w:val="24"/>
          <w:vertAlign w:val="superscript"/>
          <w:lang w:eastAsia="en-US" w:bidi="en-US"/>
        </w:rPr>
        <w:t>1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="00161461" w:rsidRPr="00E73B5D">
        <w:rPr>
          <w:rFonts w:ascii="Sylfaen" w:hAnsi="Sylfaen"/>
          <w:sz w:val="24"/>
          <w:szCs w:val="24"/>
        </w:rPr>
        <w:t xml:space="preserve">в которой 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 xml:space="preserve">- органический радикал и 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R</w:t>
      </w:r>
      <w:r w:rsidR="00161461" w:rsidRPr="00E73B5D">
        <w:rPr>
          <w:rFonts w:ascii="Sylfaen" w:hAnsi="Sylfaen"/>
          <w:sz w:val="24"/>
          <w:szCs w:val="24"/>
          <w:vertAlign w:val="superscript"/>
          <w:lang w:eastAsia="en-US" w:bidi="en-US"/>
        </w:rPr>
        <w:t>1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- металл»;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в пояснениях к товарной позиции 2934 ТН ВЭД ЕАЭС: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после пункта (3) части (Б) дополнить пунктом (4) следующего содержания: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 xml:space="preserve">«(4) </w:t>
      </w:r>
      <w:r w:rsidRPr="00E73B5D">
        <w:rPr>
          <w:rStyle w:val="Bodytext2Bold"/>
          <w:rFonts w:ascii="Sylfaen" w:hAnsi="Sylfaen"/>
          <w:sz w:val="24"/>
          <w:szCs w:val="24"/>
        </w:rPr>
        <w:t>Дегид ротио-я-толуидин</w:t>
      </w:r>
      <w:r w:rsidR="00E73B5D">
        <w:rPr>
          <w:rStyle w:val="Bodytext2Bold"/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(4-(6-метил-1,3 -бензотиазол-2-ил)анилин).»;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пункт (5) части (Г) исключить;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пункты (6) - (8) считать пунктами (5) - (7) соответственно;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 xml:space="preserve">в исключении (4) (в) пояснений к товарной позиции 2937 ТН ВЭД ЕАЭС слова «модуляторы и нейромодуляторы, такие как» заменить словами «нейротрансмиттеры и нейромодуляторы, такие как сепранолон </w:t>
      </w:r>
      <w:r w:rsidR="00161461" w:rsidRPr="00E73B5D">
        <w:rPr>
          <w:rStyle w:val="Bodytext2Bold"/>
          <w:rFonts w:ascii="Sylfaen" w:hAnsi="Sylfaen"/>
          <w:sz w:val="24"/>
          <w:szCs w:val="24"/>
          <w:lang w:eastAsia="en-US" w:bidi="en-US"/>
        </w:rPr>
        <w:t>(</w:t>
      </w:r>
      <w:r w:rsidR="00161461" w:rsidRPr="00E73B5D">
        <w:rPr>
          <w:rStyle w:val="Bodytext2Bold"/>
          <w:rFonts w:ascii="Sylfaen" w:hAnsi="Sylfaen"/>
          <w:sz w:val="24"/>
          <w:szCs w:val="24"/>
          <w:lang w:val="en-US" w:eastAsia="en-US" w:bidi="en-US"/>
        </w:rPr>
        <w:t>INN</w:t>
      </w:r>
      <w:r w:rsidR="00161461" w:rsidRPr="00E73B5D">
        <w:rPr>
          <w:rStyle w:val="Bodytext2Bold"/>
          <w:rFonts w:ascii="Sylfaen" w:hAnsi="Sylfaen"/>
          <w:sz w:val="24"/>
          <w:szCs w:val="24"/>
          <w:lang w:eastAsia="en-US" w:bidi="en-US"/>
        </w:rPr>
        <w:t xml:space="preserve">) </w:t>
      </w:r>
      <w:r w:rsidR="00161461" w:rsidRPr="00E73B5D">
        <w:rPr>
          <w:rStyle w:val="Bodytext2Bold"/>
          <w:rFonts w:ascii="Sylfaen" w:hAnsi="Sylfaen"/>
          <w:sz w:val="24"/>
          <w:szCs w:val="24"/>
        </w:rPr>
        <w:t>(товарная позиция 2914),»;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абзац второй пояснений к субпозиции 2941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 xml:space="preserve">30 ТН ВЭД ЕАЭС после слов «хлортетрациклин 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>(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INN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 xml:space="preserve">),» </w:t>
      </w:r>
      <w:r w:rsidR="00161461" w:rsidRPr="00E73B5D">
        <w:rPr>
          <w:rFonts w:ascii="Sylfaen" w:hAnsi="Sylfaen"/>
          <w:sz w:val="24"/>
          <w:szCs w:val="24"/>
        </w:rPr>
        <w:t xml:space="preserve">дополнить словами «эравациклин 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>(</w:t>
      </w:r>
      <w:r w:rsidR="00161461" w:rsidRPr="00E73B5D">
        <w:rPr>
          <w:rFonts w:ascii="Sylfaen" w:hAnsi="Sylfaen"/>
          <w:sz w:val="24"/>
          <w:szCs w:val="24"/>
          <w:lang w:val="en-US" w:eastAsia="en-US" w:bidi="en-US"/>
        </w:rPr>
        <w:t>INN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>),»;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часть III перечня наркотических лекарственных средств и психотропных веществ, приведенного в алфавитном порядке по типу лекарственного средства, после слов «3,4-(Метилендиокси)фенил-2- пропанон» дополнить следующими позициями:</w:t>
      </w:r>
    </w:p>
    <w:tbl>
      <w:tblPr>
        <w:tblOverlap w:val="never"/>
        <w:tblW w:w="8920" w:type="dxa"/>
        <w:jc w:val="center"/>
        <w:tblInd w:w="7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2"/>
        <w:gridCol w:w="2359"/>
        <w:gridCol w:w="3089"/>
      </w:tblGrid>
      <w:tr w:rsidR="00881C58" w:rsidRPr="00E73B5D" w:rsidTr="00470D28">
        <w:trPr>
          <w:jc w:val="center"/>
        </w:trPr>
        <w:tc>
          <w:tcPr>
            <w:tcW w:w="3472" w:type="dxa"/>
            <w:shd w:val="clear" w:color="auto" w:fill="FFFFFF"/>
          </w:tcPr>
          <w:p w:rsidR="00881C58" w:rsidRPr="00E73B5D" w:rsidRDefault="00161461" w:rsidP="00E73B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73B5D">
              <w:rPr>
                <w:rStyle w:val="Bodytext212pt"/>
                <w:rFonts w:ascii="Sylfaen" w:hAnsi="Sylfaen"/>
              </w:rPr>
              <w:t>«Норэфедрин</w:t>
            </w:r>
          </w:p>
        </w:tc>
        <w:tc>
          <w:tcPr>
            <w:tcW w:w="2359" w:type="dxa"/>
            <w:shd w:val="clear" w:color="auto" w:fill="FFFFFF"/>
          </w:tcPr>
          <w:p w:rsidR="00881C58" w:rsidRPr="00E73B5D" w:rsidRDefault="00161461" w:rsidP="00470D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73B5D">
              <w:rPr>
                <w:rStyle w:val="Bodytext212pt"/>
                <w:rFonts w:ascii="Sylfaen" w:hAnsi="Sylfaen"/>
              </w:rPr>
              <w:t>2939 44</w:t>
            </w:r>
          </w:p>
        </w:tc>
        <w:tc>
          <w:tcPr>
            <w:tcW w:w="3089" w:type="dxa"/>
            <w:shd w:val="clear" w:color="auto" w:fill="FFFFFF"/>
          </w:tcPr>
          <w:p w:rsidR="00881C58" w:rsidRPr="00E73B5D" w:rsidRDefault="00161461" w:rsidP="00470D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73B5D">
              <w:rPr>
                <w:rStyle w:val="Bodytext212pt"/>
                <w:rFonts w:ascii="Sylfaen" w:hAnsi="Sylfaen"/>
              </w:rPr>
              <w:t>14838-15-4</w:t>
            </w:r>
          </w:p>
        </w:tc>
      </w:tr>
      <w:tr w:rsidR="00881C58" w:rsidRPr="00E73B5D" w:rsidTr="00470D28">
        <w:trPr>
          <w:jc w:val="center"/>
        </w:trPr>
        <w:tc>
          <w:tcPr>
            <w:tcW w:w="3472" w:type="dxa"/>
            <w:shd w:val="clear" w:color="auto" w:fill="FFFFFF"/>
            <w:vAlign w:val="bottom"/>
          </w:tcPr>
          <w:p w:rsidR="00881C58" w:rsidRPr="00E73B5D" w:rsidRDefault="00161461" w:rsidP="00E73B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73B5D">
              <w:rPr>
                <w:rStyle w:val="Bodytext212pt"/>
                <w:rFonts w:ascii="Sylfaen" w:hAnsi="Sylfaen"/>
              </w:rPr>
              <w:t>Норэфедрина гидрохлорид</w:t>
            </w:r>
          </w:p>
        </w:tc>
        <w:tc>
          <w:tcPr>
            <w:tcW w:w="2359" w:type="dxa"/>
            <w:shd w:val="clear" w:color="auto" w:fill="FFFFFF"/>
          </w:tcPr>
          <w:p w:rsidR="00881C58" w:rsidRPr="00E73B5D" w:rsidRDefault="00161461" w:rsidP="00470D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73B5D">
              <w:rPr>
                <w:rStyle w:val="Bodytext212pt"/>
                <w:rFonts w:ascii="Sylfaen" w:hAnsi="Sylfaen"/>
              </w:rPr>
              <w:t>2939 44</w:t>
            </w:r>
          </w:p>
        </w:tc>
        <w:tc>
          <w:tcPr>
            <w:tcW w:w="3089" w:type="dxa"/>
            <w:shd w:val="clear" w:color="auto" w:fill="FFFFFF"/>
          </w:tcPr>
          <w:p w:rsidR="00881C58" w:rsidRPr="00E73B5D" w:rsidRDefault="00161461" w:rsidP="00470D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73B5D">
              <w:rPr>
                <w:rStyle w:val="Bodytext212pt"/>
                <w:rFonts w:ascii="Sylfaen" w:hAnsi="Sylfaen"/>
              </w:rPr>
              <w:t>154-41-6»;</w:t>
            </w:r>
          </w:p>
        </w:tc>
      </w:tr>
    </w:tbl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 xml:space="preserve">пункт (Г) товарной позиции 2909 ТН ВЭД ЕАЭС в таблице </w:t>
      </w:r>
      <w:r w:rsidR="00161461" w:rsidRPr="00E73B5D">
        <w:rPr>
          <w:rStyle w:val="Bodytext2Bold"/>
          <w:rFonts w:ascii="Sylfaen" w:hAnsi="Sylfaen"/>
          <w:sz w:val="24"/>
          <w:szCs w:val="24"/>
        </w:rPr>
        <w:t xml:space="preserve">«Структурные формулы некоторых химических соединений, описанных в пояснениях к группе 29» </w:t>
      </w:r>
      <w:r w:rsidR="00161461" w:rsidRPr="00E73B5D">
        <w:rPr>
          <w:rFonts w:ascii="Sylfaen" w:hAnsi="Sylfaen"/>
          <w:sz w:val="24"/>
          <w:szCs w:val="24"/>
        </w:rPr>
        <w:t>после строки «Пероксиды кетонов (пероксид циклогексанона)» дополнить строкой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"/>
        <w:gridCol w:w="392"/>
        <w:gridCol w:w="493"/>
        <w:gridCol w:w="464"/>
        <w:gridCol w:w="3215"/>
        <w:gridCol w:w="4021"/>
      </w:tblGrid>
      <w:tr w:rsidR="00881C58" w:rsidRPr="00E73B5D" w:rsidTr="00470D28">
        <w:trPr>
          <w:trHeight w:val="1096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58" w:rsidRPr="00E73B5D" w:rsidRDefault="00881C58" w:rsidP="00E73B5D">
            <w:pPr>
              <w:spacing w:after="120"/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58" w:rsidRPr="00E73B5D" w:rsidRDefault="00881C58" w:rsidP="00E73B5D">
            <w:pPr>
              <w:spacing w:after="120"/>
            </w:pP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58" w:rsidRPr="00E73B5D" w:rsidRDefault="00881C58" w:rsidP="00E73B5D">
            <w:pPr>
              <w:spacing w:after="120"/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58" w:rsidRPr="00E73B5D" w:rsidRDefault="00881C58" w:rsidP="00E73B5D">
            <w:pPr>
              <w:spacing w:after="120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58" w:rsidRPr="00E73B5D" w:rsidRDefault="00161461" w:rsidP="00E73B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73B5D">
              <w:rPr>
                <w:rStyle w:val="Bodytext212pt"/>
                <w:rFonts w:ascii="Sylfaen" w:hAnsi="Sylfaen"/>
              </w:rPr>
              <w:t>Пероксиды простых эфиров</w:t>
            </w:r>
          </w:p>
        </w:tc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D28" w:rsidRDefault="00470D28" w:rsidP="00470D28">
            <w:pPr>
              <w:jc w:val="right"/>
              <w:rPr>
                <w:sz w:val="2"/>
                <w:szCs w:val="2"/>
              </w:rPr>
            </w:pPr>
          </w:p>
          <w:p w:rsidR="00470D28" w:rsidRDefault="00470D28" w:rsidP="00470D28">
            <w:pPr>
              <w:jc w:val="right"/>
              <w:rPr>
                <w:sz w:val="2"/>
                <w:szCs w:val="2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2295525" cy="1419225"/>
                  <wp:effectExtent l="19050" t="0" r="9525" b="0"/>
                  <wp:docPr id="19" name="Picture 19" descr="C:\Users\mikhail.LOCAL\Documents\MIKA\2017\05.2017\115-0004-2017-B_for preformatting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mikhail.LOCAL\Documents\MIKA\2017\05.2017\115-0004-2017-B_for preformatting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C58" w:rsidRPr="00E73B5D" w:rsidRDefault="00881C58" w:rsidP="00E73B5D">
            <w:pPr>
              <w:spacing w:after="120"/>
            </w:pPr>
          </w:p>
        </w:tc>
      </w:tr>
      <w:tr w:rsidR="00881C58" w:rsidRPr="00E73B5D" w:rsidTr="00470D28">
        <w:trPr>
          <w:trHeight w:val="1268"/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C58" w:rsidRPr="00E73B5D" w:rsidRDefault="00881C58" w:rsidP="00E73B5D">
            <w:pPr>
              <w:spacing w:after="120"/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C58" w:rsidRPr="00E73B5D" w:rsidRDefault="00881C58" w:rsidP="00E73B5D">
            <w:pPr>
              <w:spacing w:after="120"/>
            </w:pPr>
          </w:p>
        </w:tc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C58" w:rsidRPr="00E73B5D" w:rsidRDefault="00881C58" w:rsidP="00E73B5D">
            <w:pPr>
              <w:spacing w:after="120"/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C58" w:rsidRPr="00E73B5D" w:rsidRDefault="00881C58" w:rsidP="00E73B5D">
            <w:pPr>
              <w:spacing w:after="120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1C58" w:rsidRPr="00E73B5D" w:rsidRDefault="00161461" w:rsidP="00470D2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73B5D">
              <w:rPr>
                <w:rStyle w:val="Bodytext212pt"/>
                <w:rFonts w:ascii="Sylfaen" w:hAnsi="Sylfaen"/>
              </w:rPr>
              <w:t>1,1-ди(трет-</w:t>
            </w:r>
          </w:p>
          <w:p w:rsidR="00881C58" w:rsidRPr="00E73B5D" w:rsidRDefault="00161461" w:rsidP="00470D2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73B5D">
              <w:rPr>
                <w:rStyle w:val="Bodytext212pt"/>
                <w:rFonts w:ascii="Sylfaen" w:hAnsi="Sylfaen"/>
              </w:rPr>
              <w:t>бутилперокси)циклогексан</w:t>
            </w:r>
          </w:p>
        </w:tc>
        <w:tc>
          <w:tcPr>
            <w:tcW w:w="4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C58" w:rsidRPr="00E73B5D" w:rsidRDefault="00881C58" w:rsidP="00E73B5D">
            <w:pPr>
              <w:spacing w:after="120"/>
            </w:pPr>
          </w:p>
        </w:tc>
      </w:tr>
    </w:tbl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в пояснениях к товарной позиции 3002 ТН ВЭД ЕАЭС: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абзац второй пункта (1) части (В) изложить в следующей редакции: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 xml:space="preserve">«В данную товарную позицию включаются,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inter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alia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73B5D">
        <w:rPr>
          <w:rFonts w:ascii="Sylfaen" w:hAnsi="Sylfaen"/>
          <w:sz w:val="24"/>
          <w:szCs w:val="24"/>
        </w:rPr>
        <w:t>следующие продукты, полученные на основе крови (включая сосудистые эндотелиальные клетки):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«нормальные» сыворотки, человеческий нормальный иммуноглобулин, фракции крови и их усеченные варианты (части) с ферментными свойствами/активностью, плазма, тромбин, фибриноген, фибрин и прочие факторы свертываемости крови, тромбомодулин, глобулины крови, сывороточные глобулины и гемоглобин.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 xml:space="preserve">В </w:t>
      </w:r>
      <w:r w:rsidRPr="00E73B5D">
        <w:rPr>
          <w:rFonts w:ascii="Sylfaen" w:hAnsi="Sylfaen"/>
          <w:sz w:val="24"/>
          <w:szCs w:val="24"/>
        </w:rPr>
        <w:lastRenderedPageBreak/>
        <w:t>данную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категорию также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 xml:space="preserve">включаются модифицированные тромбомодулины и модифицированные гемоглобины, полученные методами биотехнологии, например, сотромбомодулин альфа </w:t>
      </w:r>
      <w:r w:rsidRPr="00E73B5D">
        <w:rPr>
          <w:rFonts w:ascii="Sylfaen" w:hAnsi="Sylfaen"/>
          <w:sz w:val="24"/>
          <w:szCs w:val="24"/>
          <w:lang w:eastAsia="en-US" w:bidi="en-US"/>
        </w:rPr>
        <w:t>(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INN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E73B5D">
        <w:rPr>
          <w:rFonts w:ascii="Sylfaen" w:hAnsi="Sylfaen"/>
          <w:sz w:val="24"/>
          <w:szCs w:val="24"/>
        </w:rPr>
        <w:t xml:space="preserve">и тромбомодулин альфа </w:t>
      </w:r>
      <w:r w:rsidRPr="00E73B5D">
        <w:rPr>
          <w:rFonts w:ascii="Sylfaen" w:hAnsi="Sylfaen"/>
          <w:sz w:val="24"/>
          <w:szCs w:val="24"/>
          <w:lang w:eastAsia="en-US" w:bidi="en-US"/>
        </w:rPr>
        <w:t>(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INN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E73B5D">
        <w:rPr>
          <w:rFonts w:ascii="Sylfaen" w:hAnsi="Sylfaen"/>
          <w:sz w:val="24"/>
          <w:szCs w:val="24"/>
        </w:rPr>
        <w:t>а также гемоглобины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с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поперечными связями,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>такие как</w:t>
      </w:r>
      <w:r w:rsidR="00E73B5D">
        <w:rPr>
          <w:rFonts w:ascii="Sylfaen" w:hAnsi="Sylfaen"/>
          <w:sz w:val="24"/>
          <w:szCs w:val="24"/>
        </w:rPr>
        <w:t xml:space="preserve"> </w:t>
      </w:r>
      <w:r w:rsidRPr="00E73B5D">
        <w:rPr>
          <w:rFonts w:ascii="Sylfaen" w:hAnsi="Sylfaen"/>
          <w:sz w:val="24"/>
          <w:szCs w:val="24"/>
        </w:rPr>
        <w:t xml:space="preserve">гемоглобин кросфумарил </w:t>
      </w:r>
      <w:r w:rsidRPr="00E73B5D">
        <w:rPr>
          <w:rFonts w:ascii="Sylfaen" w:hAnsi="Sylfaen"/>
          <w:sz w:val="24"/>
          <w:szCs w:val="24"/>
          <w:lang w:eastAsia="en-US" w:bidi="en-US"/>
        </w:rPr>
        <w:t>(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INN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E73B5D">
        <w:rPr>
          <w:rFonts w:ascii="Sylfaen" w:hAnsi="Sylfaen"/>
          <w:sz w:val="24"/>
          <w:szCs w:val="24"/>
        </w:rPr>
        <w:t xml:space="preserve">гемоглобин глутамер </w:t>
      </w:r>
      <w:r w:rsidRPr="00E73B5D">
        <w:rPr>
          <w:rFonts w:ascii="Sylfaen" w:hAnsi="Sylfaen"/>
          <w:sz w:val="24"/>
          <w:szCs w:val="24"/>
          <w:lang w:eastAsia="en-US" w:bidi="en-US"/>
        </w:rPr>
        <w:t>(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INN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E73B5D">
        <w:rPr>
          <w:rFonts w:ascii="Sylfaen" w:hAnsi="Sylfaen"/>
          <w:sz w:val="24"/>
          <w:szCs w:val="24"/>
        </w:rPr>
        <w:t xml:space="preserve">и гемоглобин раффимер </w:t>
      </w:r>
      <w:r w:rsidRPr="00E73B5D">
        <w:rPr>
          <w:rFonts w:ascii="Sylfaen" w:hAnsi="Sylfaen"/>
          <w:sz w:val="24"/>
          <w:szCs w:val="24"/>
          <w:lang w:eastAsia="en-US" w:bidi="en-US"/>
        </w:rPr>
        <w:t>(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INN</w:t>
      </w:r>
      <w:r w:rsidRPr="00E73B5D">
        <w:rPr>
          <w:rFonts w:ascii="Sylfaen" w:hAnsi="Sylfaen"/>
          <w:sz w:val="24"/>
          <w:szCs w:val="24"/>
          <w:lang w:eastAsia="en-US" w:bidi="en-US"/>
        </w:rPr>
        <w:t>).»;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пункт (2) части (Г) изложить в следующей редакции: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 xml:space="preserve">«(2) </w:t>
      </w:r>
      <w:r w:rsidRPr="00E73B5D">
        <w:rPr>
          <w:rStyle w:val="Bodytext2Bold"/>
          <w:rFonts w:ascii="Sylfaen" w:hAnsi="Sylfaen"/>
          <w:sz w:val="24"/>
          <w:szCs w:val="24"/>
        </w:rPr>
        <w:t xml:space="preserve">Токсины </w:t>
      </w:r>
      <w:r w:rsidRPr="00E73B5D">
        <w:rPr>
          <w:rFonts w:ascii="Sylfaen" w:hAnsi="Sylfaen"/>
          <w:sz w:val="24"/>
          <w:szCs w:val="24"/>
        </w:rPr>
        <w:t xml:space="preserve">(яды), токсоиды, криптотоксины, протоксины (например, топсалицин </w:t>
      </w:r>
      <w:r w:rsidRPr="00E73B5D">
        <w:rPr>
          <w:rFonts w:ascii="Sylfaen" w:hAnsi="Sylfaen"/>
          <w:sz w:val="24"/>
          <w:szCs w:val="24"/>
          <w:lang w:eastAsia="en-US" w:bidi="en-US"/>
        </w:rPr>
        <w:t>(</w:t>
      </w:r>
      <w:r w:rsidRPr="00E73B5D">
        <w:rPr>
          <w:rFonts w:ascii="Sylfaen" w:hAnsi="Sylfaen"/>
          <w:sz w:val="24"/>
          <w:szCs w:val="24"/>
          <w:lang w:val="en-US" w:eastAsia="en-US" w:bidi="en-US"/>
        </w:rPr>
        <w:t>INN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)) </w:t>
      </w:r>
      <w:r w:rsidRPr="00E73B5D">
        <w:rPr>
          <w:rFonts w:ascii="Sylfaen" w:hAnsi="Sylfaen"/>
          <w:sz w:val="24"/>
          <w:szCs w:val="24"/>
        </w:rPr>
        <w:t>и антитоксины.»;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часть (V) пояснений к товарной позиции 3307 ТН ВЭД ЕАЭС дополнить пунктом (7) следующего содержания: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 xml:space="preserve">«(7) </w:t>
      </w:r>
      <w:r w:rsidRPr="00E73B5D">
        <w:rPr>
          <w:rStyle w:val="Bodytext2Bold"/>
          <w:rFonts w:ascii="Sylfaen" w:hAnsi="Sylfaen"/>
          <w:sz w:val="24"/>
          <w:szCs w:val="24"/>
        </w:rPr>
        <w:t xml:space="preserve">Растворы хлорида натрия, </w:t>
      </w:r>
      <w:r w:rsidRPr="00E73B5D">
        <w:rPr>
          <w:rFonts w:ascii="Sylfaen" w:hAnsi="Sylfaen"/>
          <w:sz w:val="24"/>
          <w:szCs w:val="24"/>
        </w:rPr>
        <w:t>расфасованные для гигиенических целей в упаковки для розничной продажи, кроме медицинских или фармацевтических средств, стерильные или нестерильные.»;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1</w:t>
      </w:r>
      <w:r w:rsidR="00470D28" w:rsidRPr="00470D28">
        <w:rPr>
          <w:rFonts w:ascii="Sylfaen" w:hAnsi="Sylfaen"/>
          <w:sz w:val="24"/>
          <w:szCs w:val="24"/>
        </w:rPr>
        <w:t>3</w:t>
      </w:r>
      <w:r w:rsidRPr="00E73B5D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пункт (4) части (Б) пояснений к товарной позиции 3506 ТН ВЭД ЕАЭС и исключение (б) перед пояснением к субпозициям общих положений пояснений к группе 39 ТН ВЭД ЕАЭС после слова «воски» дополнить словами «, сложные эфиры канифоли, ^модифицированный природный шеллак»;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1</w:t>
      </w:r>
      <w:r w:rsidR="00470D28" w:rsidRPr="00470D28">
        <w:rPr>
          <w:rFonts w:ascii="Sylfaen" w:hAnsi="Sylfaen"/>
          <w:sz w:val="24"/>
          <w:szCs w:val="24"/>
        </w:rPr>
        <w:t>4</w:t>
      </w:r>
      <w:r w:rsidRPr="00E73B5D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абзац третий пункта (1) пояснений к товарной позиции 3909 ТН ВЭД ЕАЭС изложить в следующей редакции: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Style w:val="Bodytext2Bold"/>
          <w:rFonts w:ascii="Sylfaen" w:hAnsi="Sylfaen"/>
          <w:sz w:val="24"/>
          <w:szCs w:val="24"/>
        </w:rPr>
        <w:t xml:space="preserve">«Полиметиленфенилизоцианат </w:t>
      </w:r>
      <w:r w:rsidRPr="00E73B5D">
        <w:rPr>
          <w:rFonts w:ascii="Sylfaen" w:hAnsi="Sylfaen"/>
          <w:sz w:val="24"/>
          <w:szCs w:val="24"/>
        </w:rPr>
        <w:t>(часто называемый "сырой МДИ", "полимерный МДИ" или "полидифенилметандиизоцианат") представляет собой жидкость, варьирующуюся от непрозрачной темно- коричневой до прозрачной светло-коричневой, и которая получается путем взаимодействия анилина и формальдегида с образованием смеси олигомеров метиленфениламина, которая затем реагирует с фосгеном и при нагревании образует изоцианатные функциональные группы. Продукт является химически модифицированным полимером анилина и формальдегида (химически модифицированная аминосмола). Он содержит собственно МДИ и смеси МДИ олигомеров. Химические структуры см. ниже:</w:t>
      </w:r>
    </w:p>
    <w:p w:rsidR="00881C58" w:rsidRPr="00E73B5D" w:rsidRDefault="00957BFE" w:rsidP="00E73B5D">
      <w:pPr>
        <w:spacing w:after="120"/>
        <w:jc w:val="center"/>
      </w:pPr>
      <w:r>
        <w:fldChar w:fldCharType="begin"/>
      </w:r>
      <w:r>
        <w:instrText xml:space="preserve"> </w:instrText>
      </w:r>
      <w:r>
        <w:instrText>INCLUDEPICTURE  "</w:instrText>
      </w:r>
      <w:r>
        <w:instrText>C:\\Users\\Tatevik\\Desktop\\</w:instrText>
      </w:r>
      <w:r>
        <w:instrText>ԵՏՄ</w:instrText>
      </w:r>
      <w:r>
        <w:instrText>\\media\\image1.jpeg" \* MERGEFORMATINET</w:instrText>
      </w:r>
      <w:r>
        <w:instrText xml:space="preserve"> </w:instrText>
      </w:r>
      <w:r>
        <w:fldChar w:fldCharType="separate"/>
      </w:r>
      <w:r w:rsidR="00E253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29pt">
            <v:imagedata r:id="rId9" r:href="rId10"/>
          </v:shape>
        </w:pict>
      </w:r>
      <w:r>
        <w:fldChar w:fldCharType="end"/>
      </w:r>
    </w:p>
    <w:p w:rsidR="00881C58" w:rsidRPr="00E73B5D" w:rsidRDefault="00881C58" w:rsidP="00E73B5D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6"/>
        <w:gridCol w:w="4565"/>
      </w:tblGrid>
      <w:tr w:rsidR="00881C58" w:rsidRPr="00E73B5D" w:rsidTr="00E73B5D">
        <w:trPr>
          <w:jc w:val="center"/>
        </w:trPr>
        <w:tc>
          <w:tcPr>
            <w:tcW w:w="3766" w:type="dxa"/>
            <w:shd w:val="clear" w:color="auto" w:fill="FFFFFF"/>
            <w:vAlign w:val="bottom"/>
          </w:tcPr>
          <w:p w:rsidR="00881C58" w:rsidRPr="00E73B5D" w:rsidRDefault="00161461" w:rsidP="00E73B5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73B5D">
              <w:rPr>
                <w:rFonts w:ascii="Sylfaen" w:hAnsi="Sylfaen"/>
                <w:sz w:val="24"/>
                <w:szCs w:val="24"/>
              </w:rPr>
              <w:t>Мономеры МДИ</w:t>
            </w:r>
          </w:p>
        </w:tc>
        <w:tc>
          <w:tcPr>
            <w:tcW w:w="4565" w:type="dxa"/>
            <w:shd w:val="clear" w:color="auto" w:fill="FFFFFF"/>
            <w:vAlign w:val="bottom"/>
          </w:tcPr>
          <w:p w:rsidR="00881C58" w:rsidRPr="00E73B5D" w:rsidRDefault="00161461" w:rsidP="00E73B5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E73B5D">
              <w:rPr>
                <w:rFonts w:ascii="Sylfaen" w:hAnsi="Sylfaen"/>
                <w:sz w:val="24"/>
                <w:szCs w:val="24"/>
              </w:rPr>
              <w:t>Олигомеры МДИ (</w:t>
            </w:r>
            <w:r w:rsidRPr="00E73B5D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E73B5D">
              <w:rPr>
                <w:rFonts w:ascii="Sylfaen" w:hAnsi="Sylfaen"/>
                <w:sz w:val="24"/>
                <w:szCs w:val="24"/>
              </w:rPr>
              <w:t xml:space="preserve"> = 1-6)».</w:t>
            </w:r>
          </w:p>
        </w:tc>
      </w:tr>
    </w:tbl>
    <w:p w:rsidR="00881C58" w:rsidRPr="00E73B5D" w:rsidRDefault="00881C58" w:rsidP="00E73B5D">
      <w:pPr>
        <w:spacing w:after="120"/>
      </w:pP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В томе 3: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последний абзац перед пояснением к субпозиции пояснений к товарной позиции 6110 ТН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ВЭД</w:t>
      </w:r>
      <w:r w:rsidR="00161461"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ЕАЭС изложить в следующей редакции: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«В данную товарную позицию также не включаются утепленные жилеты, которые обычно носятся поверх другой одежды для защиты от непогоды, товарной позиции 6101 или 6102.»;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в пояснениях к товарной позиции 6907 ТН ВЭД ЕАЭС: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после пункта (2) дополнить новым пунктом (3) следующего содержания: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«(3) Терракотовые облицовочные элементы, используемые в строительной промышленности для внешней или внутренней облицовки, различных размеров, с модульной структурой, которые крепятся с помощью, например, металлических зажимов к вертикальным или горизонтальным металлическим профилям, прикрепленным к стенам основной конструкции.»;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пункт (3) считать пунктом (4).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В томе 4 в исключении (а) пояснений к товарной позиции 7113 ТН ВЭД ЕАЭС слова «в примечании 2 (Б)» заменить словами «в примечании 3 (Б)».</w:t>
      </w:r>
    </w:p>
    <w:p w:rsidR="00881C58" w:rsidRPr="00E73B5D" w:rsidRDefault="00470D28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 w:eastAsia="en-US" w:bidi="en-US"/>
        </w:rPr>
        <w:t>5</w:t>
      </w:r>
      <w:r w:rsidR="00E73B5D" w:rsidRPr="00E73B5D">
        <w:rPr>
          <w:rFonts w:ascii="Sylfaen" w:hAnsi="Sylfaen"/>
          <w:sz w:val="24"/>
          <w:szCs w:val="24"/>
          <w:lang w:eastAsia="en-US" w:bidi="en-US"/>
        </w:rPr>
        <w:t>.</w:t>
      </w:r>
      <w:r w:rsid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В томе 5: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в пункте (II) части (А) пояснений к товарной позиции 8541 ТН ВЭД ЕАЭС: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подпункт (2) изложить в следующей редакции: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«(2) Полевые транзисторы, также известные как структуры металл-оксид-полупроводники (МОП), которые могут иметь, а могут и не иметь перехода, но которые зависят от вызванного обеднения (или обогащения) имеющихся свободных носителей заряда между двумя электродами. Транзисторное воздействие в полевом транзисторе использует лишь один тип носителя заряда (поэтому они и называются униполярными). Паразитный диод, который формируется в кристалле МОП-транзисторов (также известных как МОППТ), может действовать как обратный диод во время отключения индуктивной нагрузки. МОППТ, имеющие четыре электрода, называются тетродами.»;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дополнить пунктом (3) следующего содержания: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«(3) Биполярные транзисторы с изолированным затвором (БТИЗ), которые являются приборами с тремя электродами - затвор и два нагрузочных электрода (эмиттер и коллектор). Путем подачи соответствующего напряжения между затвором и эмиттером, осуществляется управление током в одном направлении, т.е. его можно включать и выключать. БТИЗ чипы могут быть совмещены с диодами в одном корпусе (составные БТИЗ) для защиты БТИЗ и обеспечения его функционирования в качестве транзистора.»;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исключение (в) пояснений к товарной позиции 8704 ТН ВЭД ЕАЭС изложить в следующей редакции:</w:t>
      </w:r>
    </w:p>
    <w:p w:rsidR="00881C58" w:rsidRPr="00E73B5D" w:rsidRDefault="00161461" w:rsidP="00470D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lastRenderedPageBreak/>
        <w:t>«(в) мотоциклы, мотороллеры или мотовелосипеды, оборудованные для перевозки грузов, такие как мотоциклы для доставки товаров, трехколесные велосипеды и т.д., которые не имеют</w:t>
      </w:r>
      <w:r w:rsidRPr="00E73B5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73B5D">
        <w:rPr>
          <w:rFonts w:ascii="Sylfaen" w:hAnsi="Sylfaen"/>
          <w:sz w:val="24"/>
          <w:szCs w:val="24"/>
        </w:rPr>
        <w:t xml:space="preserve">характеристик трехколесных транспортных средств данной товарной позиции </w:t>
      </w:r>
      <w:r w:rsidRPr="00E73B5D">
        <w:rPr>
          <w:rStyle w:val="Bodytext2Bold"/>
          <w:rFonts w:ascii="Sylfaen" w:hAnsi="Sylfaen"/>
          <w:sz w:val="24"/>
          <w:szCs w:val="24"/>
        </w:rPr>
        <w:t>(товарная позиция 8711).»;</w:t>
      </w:r>
    </w:p>
    <w:p w:rsidR="00881C58" w:rsidRPr="00E73B5D" w:rsidRDefault="00E73B5D" w:rsidP="00470D2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E73B5D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="00161461" w:rsidRPr="00E73B5D">
        <w:rPr>
          <w:rFonts w:ascii="Sylfaen" w:hAnsi="Sylfaen"/>
          <w:sz w:val="24"/>
          <w:szCs w:val="24"/>
        </w:rPr>
        <w:t>пункт (1) пояснений к товарной позиции 9403 ТН ВЭД ЕАЭС изложить в следующей редакции:</w:t>
      </w:r>
    </w:p>
    <w:p w:rsidR="00881C58" w:rsidRPr="00E73B5D" w:rsidRDefault="00161461" w:rsidP="00E73B5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E73B5D">
        <w:rPr>
          <w:rStyle w:val="Bodytext2Bold"/>
          <w:rFonts w:ascii="Sylfaen" w:hAnsi="Sylfaen"/>
          <w:sz w:val="24"/>
          <w:szCs w:val="24"/>
        </w:rPr>
        <w:t xml:space="preserve">«(1) Частных жилищ, гостиниц и т.д., </w:t>
      </w:r>
      <w:r w:rsidRPr="00E73B5D">
        <w:rPr>
          <w:rFonts w:ascii="Sylfaen" w:hAnsi="Sylfaen"/>
          <w:sz w:val="24"/>
          <w:szCs w:val="24"/>
        </w:rPr>
        <w:t>такая как: застекленные шкафы, бельевые сундуки, хлебницы, комоды, высокие комоды; пьедесталы (напольные подставки), подставки для растений; туалетные столики; тумбы письменных столов; гардеробы, бельевые прессы; подставки для прихожей, подставки для зонтов; серванты, кухонные посудные шкафы, буфеты; ящики для продуктов; прикроватные столики; кровати (включая кровати с гардеробом, складные кровати, походные кровати, детские кроватки и т.д.); столики для шитья; скамеечки и скамеечки для ног (качающиеся или нет), предназначенные для размещения ног, каминные ширмы; ширмы от сквозняка; пепельницы на подставках; шкафы с ящиками для хранения нот, пюпитры (для нот); детские манежи; тележки для разноса пищи (с подогревающей плитой или без нее).».</w:t>
      </w:r>
    </w:p>
    <w:sectPr w:rsidR="00881C58" w:rsidRPr="00E73B5D" w:rsidSect="00E73B5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FE" w:rsidRDefault="00957BFE" w:rsidP="00881C58">
      <w:r>
        <w:separator/>
      </w:r>
    </w:p>
  </w:endnote>
  <w:endnote w:type="continuationSeparator" w:id="0">
    <w:p w:rsidR="00957BFE" w:rsidRDefault="00957BFE" w:rsidP="0088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FE" w:rsidRDefault="00957BFE"/>
  </w:footnote>
  <w:footnote w:type="continuationSeparator" w:id="0">
    <w:p w:rsidR="00957BFE" w:rsidRDefault="00957B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A3C"/>
    <w:multiLevelType w:val="multilevel"/>
    <w:tmpl w:val="E0B88D22"/>
    <w:lvl w:ilvl="0">
      <w:start w:val="1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D85B31"/>
    <w:multiLevelType w:val="multilevel"/>
    <w:tmpl w:val="53E051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413352"/>
    <w:multiLevelType w:val="multilevel"/>
    <w:tmpl w:val="27BCB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A332D7"/>
    <w:multiLevelType w:val="multilevel"/>
    <w:tmpl w:val="61B60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921A97"/>
    <w:multiLevelType w:val="multilevel"/>
    <w:tmpl w:val="93908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BA6184"/>
    <w:multiLevelType w:val="multilevel"/>
    <w:tmpl w:val="90048AA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E21887"/>
    <w:multiLevelType w:val="multilevel"/>
    <w:tmpl w:val="558096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362F31"/>
    <w:multiLevelType w:val="multilevel"/>
    <w:tmpl w:val="728A7A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5C6F48"/>
    <w:multiLevelType w:val="multilevel"/>
    <w:tmpl w:val="C4A232E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81C58"/>
    <w:rsid w:val="00161461"/>
    <w:rsid w:val="00470D28"/>
    <w:rsid w:val="00881C58"/>
    <w:rsid w:val="00957BFE"/>
    <w:rsid w:val="00E2534F"/>
    <w:rsid w:val="00E7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1C5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1C5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81C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NotBold">
    <w:name w:val="Body text (3) + Not Bold"/>
    <w:basedOn w:val="Bodytext3"/>
    <w:rsid w:val="00881C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881C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81C58"/>
    <w:pPr>
      <w:shd w:val="clear" w:color="auto" w:fill="FFFFFF"/>
      <w:spacing w:after="120" w:line="0" w:lineRule="atLeast"/>
      <w:ind w:hanging="8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81C5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81C5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81C58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2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2017-05-22T12:46:00Z</dcterms:created>
  <dcterms:modified xsi:type="dcterms:W3CDTF">2017-12-21T08:16:00Z</dcterms:modified>
</cp:coreProperties>
</file>