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C11DA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УТВЕРЖДЕНА</w:t>
      </w:r>
    </w:p>
    <w:p w14:paraId="6F85C211" w14:textId="77777777" w:rsidR="008F212F" w:rsidRPr="00846FE0" w:rsidRDefault="00A31C73" w:rsidP="00EF6D5D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Решением Высшего Евразийского экономического совета </w:t>
      </w:r>
    </w:p>
    <w:p w14:paraId="7972F943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от</w:t>
      </w:r>
      <w:r w:rsidR="008F212F" w:rsidRPr="00846FE0">
        <w:rPr>
          <w:rFonts w:ascii="Sylfaen" w:hAnsi="Sylfaen"/>
          <w:sz w:val="24"/>
          <w:szCs w:val="24"/>
        </w:rPr>
        <w:t xml:space="preserve"> ____________ </w:t>
      </w:r>
      <w:r w:rsidRPr="00FB4890">
        <w:rPr>
          <w:rFonts w:ascii="Sylfaen" w:hAnsi="Sylfaen"/>
          <w:sz w:val="24"/>
          <w:szCs w:val="24"/>
        </w:rPr>
        <w:t>2016 г. №</w:t>
      </w:r>
    </w:p>
    <w:p w14:paraId="4AD17F8B" w14:textId="77777777" w:rsidR="00EF6D5D" w:rsidRDefault="00EF6D5D" w:rsidP="00FB4890">
      <w:pPr>
        <w:pStyle w:val="Bodytext40"/>
        <w:shd w:val="clear" w:color="auto" w:fill="auto"/>
        <w:spacing w:before="0" w:after="120" w:line="240" w:lineRule="auto"/>
        <w:jc w:val="both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14:paraId="6216C93E" w14:textId="77777777" w:rsidR="00441E2F" w:rsidRPr="00FB4890" w:rsidRDefault="00A31C73" w:rsidP="00EF6D5D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FB4890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ПРОГРАММА</w:t>
      </w:r>
    </w:p>
    <w:p w14:paraId="1F332FE2" w14:textId="77777777" w:rsidR="00441E2F" w:rsidRDefault="00A31C73" w:rsidP="00EF6D5D">
      <w:pPr>
        <w:pStyle w:val="Bodytext40"/>
        <w:shd w:val="clear" w:color="auto" w:fill="auto"/>
        <w:spacing w:before="0" w:after="120" w:line="240" w:lineRule="auto"/>
        <w:ind w:left="567" w:right="566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формирования общего электроэнергетического рынка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Евразийского экономического союза</w:t>
      </w:r>
    </w:p>
    <w:p w14:paraId="09C0BB36" w14:textId="77777777" w:rsidR="00EF6D5D" w:rsidRPr="00FB4890" w:rsidRDefault="00EF6D5D" w:rsidP="00FB4890">
      <w:pPr>
        <w:pStyle w:val="Bodytext4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</w:p>
    <w:p w14:paraId="41DAAC62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Введение</w:t>
      </w:r>
    </w:p>
    <w:p w14:paraId="7D13F40E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Общий электроэнергетический рынок Евразийского экономического союза (далее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Союз) - это система отношений между субъектами внутренних оптовых электроэнергетических рынков государств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членов Союза (далее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государства-члены) на основе параллельно работающих электроэнергетических систем, связанная с куплей-продажей электрической энергии (мощности), действующая на основании актов, регулирующих общий электроэнергетический рынок Союза, и соответствующих договоров между субъектами общего электроэнергетического рынка Союза.</w:t>
      </w:r>
    </w:p>
    <w:p w14:paraId="0186AFBB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Формирование общего электроэнергетического рынка Союза осуществляется на основании принципов, указанных в пункте 5 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 (приложение № 21 к Договору о Евразийском экономическом союзе от 29 мая 2014 года).</w:t>
      </w:r>
    </w:p>
    <w:p w14:paraId="2710491D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соответствии со статьями 81 и 104 Договора о Евразийском экономическом союзе от 29 мая 2014 года (далее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Доровор) Решением Высшего Евразийского экономического совета от 8 мая 2015 г. № 12</w:t>
      </w:r>
      <w:r w:rsidR="00EF6D5D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утверждена Концепция формирования общего электроэнергетического рынка Евразийского экономического союза (далее - Концепция).</w:t>
      </w:r>
    </w:p>
    <w:p w14:paraId="36D1AF82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Настоящая Программа разработана на основе Концепции в соответствии с пунктом 2 статьи 81 Договора.</w:t>
      </w:r>
    </w:p>
    <w:p w14:paraId="2546E8A1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Пунктом 2 статьи 104 Договора определены следующие сроки формирования общего электроэнергетического рынка Союза:</w:t>
      </w:r>
    </w:p>
    <w:p w14:paraId="2C5734EB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утверждение настоящей Программы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до 1 июля 2016 г.;</w:t>
      </w:r>
    </w:p>
    <w:p w14:paraId="2895D957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выполнение мероприятий настоящей Программы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до 1 июля 2018 г.</w:t>
      </w:r>
    </w:p>
    <w:p w14:paraId="17BF9A67" w14:textId="77777777" w:rsidR="00441E2F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Целями выполнения настоящей Программы являются обеспечение готовности государств-членов к участию субъектов электроэнергетических рынков государств-членов в общем электроэнергетическом рынке Союза и создание условий для эффективного функционирования общего электроэнергетического рынка Союза.</w:t>
      </w:r>
    </w:p>
    <w:p w14:paraId="2C9312F2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lastRenderedPageBreak/>
        <w:t>Настоящая Программа включает комплекс взаимоувязанных организационных, технологических и других мероприятий, обеспечивающих формирование общего электроэнергетического рынка Союза, последовательность действий, сроки их реализации, исполнителей, источники финансирования, а также разработку актов органов Союза, регулирующих общий электроэнергетический рынок Союза.</w:t>
      </w:r>
    </w:p>
    <w:p w14:paraId="214AAA3A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результате выполнения мероприятий настоящей Программы будут сформированы субъектный состав, методическая, организационная, инфраструктурная, технологическая и правовая основы общего электроэнергетического рынка Союза.</w:t>
      </w:r>
    </w:p>
    <w:p w14:paraId="48714484" w14:textId="77777777" w:rsidR="00441E2F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Понятия, используемые в настоящей Программе, применяются в значениях, определенных в Договоре и Концепции.</w:t>
      </w:r>
    </w:p>
    <w:p w14:paraId="3C5E66CD" w14:textId="77777777" w:rsidR="00EF6D5D" w:rsidRPr="00FB4890" w:rsidRDefault="00EF6D5D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0C9AA110" w14:textId="77777777" w:rsidR="00441E2F" w:rsidRDefault="00FB4890" w:rsidP="00EF6D5D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  <w:lang w:val="hy-AM" w:eastAsia="hy-AM" w:bidi="hy-AM"/>
        </w:rPr>
        <w:t>I.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Этапы формирования общего электроэнергетического рынка Союза. Формирование субъектного состава общего электроэнергетического рынка Союза</w:t>
      </w:r>
    </w:p>
    <w:p w14:paraId="2321AD71" w14:textId="77777777" w:rsidR="00EF6D5D" w:rsidRPr="00FB4890" w:rsidRDefault="00EF6D5D" w:rsidP="00EF6D5D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5E079E97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1. Этапы формирования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общего электроэнергетического рынка Союза</w:t>
      </w:r>
    </w:p>
    <w:p w14:paraId="655BFF30" w14:textId="77777777" w:rsidR="00EF6D5D" w:rsidRDefault="00EF6D5D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1559C9B4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Разделом XIII Концепции определены следующие этапы формирования общего электроэнергетического рынка Союза:</w:t>
      </w:r>
    </w:p>
    <w:p w14:paraId="309BBC22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этап I (2015 год - I и II кварталы 2016 г.)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разработка и утверждение настоящей Программы;</w:t>
      </w:r>
    </w:p>
    <w:p w14:paraId="618D319A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этап II (III и IV кварталы 2016 г.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I и II кварталы 2018 г.)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выполнение мероприятий настоящей Программы. Основным результатом данного этапа должно стать создание всех необходимых правовых, институциональных, технологических и других условий, обеспечивающих функционирование общего электроэнергетического рынка Союза.</w:t>
      </w:r>
    </w:p>
    <w:p w14:paraId="00B4C534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На данном этапе необходимо в том числе:</w:t>
      </w:r>
    </w:p>
    <w:p w14:paraId="31FE10B7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сформировать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технологическую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основу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общего</w:t>
      </w:r>
      <w:r w:rsidR="00EF6D5D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электроэнергетического рынка Союза;</w:t>
      </w:r>
    </w:p>
    <w:p w14:paraId="7AD4187E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разделить в вертикально интегрированных структурах конкурентные и монопольные виды деятельности;</w:t>
      </w:r>
    </w:p>
    <w:p w14:paraId="35BC8137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разработать акты, регулирующие общий электроэнергетический рынок Союза, в соответствии с планом мероприятий по формированию общего электроэнергетического рынка Союза согласно приложению;</w:t>
      </w:r>
    </w:p>
    <w:p w14:paraId="1BB5D859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этап </w:t>
      </w:r>
      <w:r w:rsidRPr="00FB4890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FB489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4890">
        <w:rPr>
          <w:rFonts w:ascii="Sylfaen" w:hAnsi="Sylfaen"/>
          <w:sz w:val="24"/>
          <w:szCs w:val="24"/>
        </w:rPr>
        <w:t>(III и IV кварталы 2018 г.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I и II кварталы 2019 г.)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обеспечение функционирования технологической основы общего электроэнергетического рынка Союза, вступление в силу международного договора о формировании общего электроэнергетического рынка Союза, содержащего в том числе единые</w:t>
      </w:r>
      <w:r w:rsidR="00EF6D5D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 xml:space="preserve">правила </w:t>
      </w:r>
      <w:r w:rsidRPr="00FB4890">
        <w:rPr>
          <w:rFonts w:ascii="Sylfaen" w:hAnsi="Sylfaen"/>
          <w:sz w:val="24"/>
          <w:szCs w:val="24"/>
        </w:rPr>
        <w:lastRenderedPageBreak/>
        <w:t>доступа к услугам субъектов естественных монополий в сфере электроэнергетики (далее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международный договор).</w:t>
      </w:r>
    </w:p>
    <w:p w14:paraId="2A399F1B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После 1 июля 2019 г. развитие и функционирование общего электроэнергетического рынка Союза регулируются международным договором, актами органов Союза и законодательством государств- членов.</w:t>
      </w:r>
    </w:p>
    <w:p w14:paraId="7F99A14D" w14:textId="77777777" w:rsidR="00EF6D5D" w:rsidRDefault="00EF6D5D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43CE06A7" w14:textId="77777777" w:rsidR="00441E2F" w:rsidRDefault="00FB4890" w:rsidP="00EF6D5D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Формирование субъектного состава общего электроэнергетического рынка Союза</w:t>
      </w:r>
    </w:p>
    <w:p w14:paraId="51E1FBED" w14:textId="77777777" w:rsidR="00EF6D5D" w:rsidRPr="00FB4890" w:rsidRDefault="00EF6D5D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658A82F8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Субъектный состав общего электроэнергетического рынка Союза определяется поэтапно:</w:t>
      </w:r>
    </w:p>
    <w:p w14:paraId="0DCF5610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до создания общего рынка газа Союза субъектный состав общего электроэнергетического рынка Союза определяется в соответствии с разделом VI Концепции, пунктом 2 Решения Высшего Евразийского экономического совета от 8 мая 2015 г. № 12 и законодательством государств-членов;</w:t>
      </w:r>
    </w:p>
    <w:p w14:paraId="662561DA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после создания общего рынка газа Союза субъектный состав общего электроэнергетического рынка Союза функционирует в соответствии с законодательством государств-членов и положениями международного договора.</w:t>
      </w:r>
    </w:p>
    <w:p w14:paraId="4327D152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Переходные положения, касающиеся этапов развития и функционирования общего электроэнергетического рынка Союза, будут включены в международный договор.</w:t>
      </w:r>
    </w:p>
    <w:p w14:paraId="69960A8F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Права и обязанности субъектов общего электроэнергетического рынка Союза устанавливаются законодательством государств-членов в сфере электроэнергетики и предусмотренными разделом VIII</w:t>
      </w:r>
      <w:r w:rsidR="00EF6D5D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настоящей Программы актами, регулирующими общий электроэнергетический рынок Союза, включая:</w:t>
      </w:r>
    </w:p>
    <w:p w14:paraId="3C1FECA3" w14:textId="77777777" w:rsidR="00EF6D5D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правила взаимной торговли электрической энергией на общем электроэнергетическом рынке Союза, содержащие в том числе порядок доступа на общий электроэнергетический рынок Союза (далее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 xml:space="preserve">правила взаимной торговли электрической энергией); </w:t>
      </w:r>
    </w:p>
    <w:p w14:paraId="2FC5F724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правила информационного обмена.</w:t>
      </w:r>
    </w:p>
    <w:p w14:paraId="58A6F652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Государствами-членами при формировании субъектного состава общего электроэнергетического рынка Союза обеспечивается разделение конкурентных и монопольных видов деятельности в вертикально интегрированных структурах.</w:t>
      </w:r>
    </w:p>
    <w:p w14:paraId="18448441" w14:textId="77777777" w:rsidR="00EF6D5D" w:rsidRDefault="00EF6D5D">
      <w:pPr>
        <w:rPr>
          <w:rFonts w:eastAsia="Times New Roman" w:cs="Times New Roman"/>
          <w:lang w:eastAsia="hy-AM" w:bidi="hy-AM"/>
        </w:rPr>
      </w:pPr>
      <w:r>
        <w:rPr>
          <w:lang w:eastAsia="hy-AM" w:bidi="hy-AM"/>
        </w:rPr>
        <w:br w:type="page"/>
      </w:r>
    </w:p>
    <w:p w14:paraId="17926AA3" w14:textId="77777777" w:rsidR="00441E2F" w:rsidRDefault="00FB4890" w:rsidP="00EF6D5D">
      <w:pPr>
        <w:pStyle w:val="Bodytext20"/>
        <w:shd w:val="clear" w:color="auto" w:fill="auto"/>
        <w:spacing w:before="0" w:after="120" w:line="24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  <w:lang w:val="hy-AM" w:eastAsia="hy-AM" w:bidi="hy-AM"/>
        </w:rPr>
        <w:lastRenderedPageBreak/>
        <w:t>II.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Формирование технологической основы общего электроэнергетического рынка Союза</w:t>
      </w:r>
    </w:p>
    <w:p w14:paraId="6711AB75" w14:textId="77777777" w:rsidR="00EF6D5D" w:rsidRPr="00FB4890" w:rsidRDefault="00EF6D5D" w:rsidP="00EF6D5D">
      <w:pPr>
        <w:pStyle w:val="Bodytext20"/>
        <w:shd w:val="clear" w:color="auto" w:fill="auto"/>
        <w:spacing w:before="0" w:after="120" w:line="24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</w:p>
    <w:p w14:paraId="2BEB82D8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1. Информационно-технологическое обеспечение торговли</w:t>
      </w:r>
    </w:p>
    <w:p w14:paraId="05075C0F" w14:textId="77777777" w:rsidR="00441E2F" w:rsidRDefault="00A31C73" w:rsidP="00EF6D5D">
      <w:pPr>
        <w:pStyle w:val="Bodytext20"/>
        <w:shd w:val="clear" w:color="auto" w:fill="auto"/>
        <w:spacing w:before="0" w:after="120" w:line="24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электрической энергией</w:t>
      </w:r>
    </w:p>
    <w:p w14:paraId="066358C9" w14:textId="77777777" w:rsidR="00EF6D5D" w:rsidRPr="00FB4890" w:rsidRDefault="00EF6D5D" w:rsidP="00EF6D5D">
      <w:pPr>
        <w:pStyle w:val="Bodytext20"/>
        <w:shd w:val="clear" w:color="auto" w:fill="auto"/>
        <w:spacing w:before="0" w:after="120" w:line="24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</w:p>
    <w:p w14:paraId="2C51C660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С целью создания условий для функционирования общего электроэнергетического рынка Союза:</w:t>
      </w:r>
    </w:p>
    <w:p w14:paraId="583422EC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разрабатываются правила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информационного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обмена,</w:t>
      </w:r>
      <w:r w:rsidR="00EF6D5D" w:rsidRP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предусматривающие порядок обмена технологической информацией в объеме, достаточном для годового, месячного, суточного и внутрисуточного планирования режимов работы электроэнергетических систем, формирования расчетных моделей энергосистем и взаимодействия системных операторов в процессе планирования, управления режимами параллельной работы электроэнергетических систем государств-членов, выполнения необходимых функций по технологическому обеспечению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функционирования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общего</w:t>
      </w:r>
      <w:r w:rsidR="00EF6D5D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электроэнергетического рынка Союза, а также порядок взаимного обмена и раскрытия государствами-членами информации о субъектном составе общего электроэнергетического рынка Союза;</w:t>
      </w:r>
    </w:p>
    <w:p w14:paraId="632C8D9A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формируется система информационного обмена, обеспечивающая взаимодействие субъектов общего электроэнергетического рынка Союза на основе данных о функционировании электроэнергетических систем и электроэнергетических рынков государств-членов;</w:t>
      </w:r>
    </w:p>
    <w:p w14:paraId="3F412CEE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формируется электронная система торговли, обеспечивающая проведение централизованных торгов по срочным контрактам;</w:t>
      </w:r>
    </w:p>
    <w:p w14:paraId="42657416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формируется электронная система торговли, обеспечивающая проведение централизованных торгов на сутки вперед;</w:t>
      </w:r>
    </w:p>
    <w:p w14:paraId="492350B9" w14:textId="77777777" w:rsidR="00441E2F" w:rsidRPr="00FB4890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разрабатываются технические требования к системам коммерческого учета электрической энергии, информационным системам обмена данными и каналам связи, обеспечивающим взаимодействие субъектов общего электроэнергетического рынка Союза, а также обеспечивается исполнение указанных требований.</w:t>
      </w:r>
    </w:p>
    <w:p w14:paraId="6ADCB627" w14:textId="77777777" w:rsidR="00441E2F" w:rsidRDefault="00A31C73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Обеспечение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надежной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параллельной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работы</w:t>
      </w:r>
      <w:r w:rsidR="00FE48E9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электроэнергетических систем государств-членов должно осуществляться в соответствии с Договором об обеспечении параллельной работы электроэнергетических систем государств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участников Содружества Независимых Государств от 25 ноября 1998 года в рамках принятых государством-членом обязательств и двусторонними договорами об обеспечении параллельной работы электроэнергетических систем государств-членов.</w:t>
      </w:r>
    </w:p>
    <w:p w14:paraId="3044D40E" w14:textId="77777777" w:rsidR="00FE48E9" w:rsidRDefault="00FE48E9" w:rsidP="00EF6D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5B87E77D" w14:textId="77777777" w:rsidR="00FE48E9" w:rsidRDefault="00FE48E9">
      <w:pPr>
        <w:rPr>
          <w:rFonts w:eastAsia="Times New Roman" w:cs="Times New Roman"/>
        </w:rPr>
      </w:pPr>
      <w:r>
        <w:br w:type="page"/>
      </w:r>
    </w:p>
    <w:p w14:paraId="07C88E6A" w14:textId="77777777" w:rsidR="00441E2F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  <w:lang w:val="hy-AM" w:eastAsia="hy-AM" w:bidi="hy-AM"/>
        </w:rPr>
        <w:lastRenderedPageBreak/>
        <w:t xml:space="preserve">2. </w:t>
      </w:r>
      <w:r w:rsidRPr="00FB4890">
        <w:rPr>
          <w:rFonts w:ascii="Sylfaen" w:hAnsi="Sylfaen"/>
          <w:sz w:val="24"/>
          <w:szCs w:val="24"/>
        </w:rPr>
        <w:t>Разработка механизма распределения пропускной способности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межгосударственных линий электропередачи</w:t>
      </w:r>
    </w:p>
    <w:p w14:paraId="340C307B" w14:textId="77777777" w:rsidR="00FE48E9" w:rsidRPr="00FB4890" w:rsidRDefault="00FE48E9" w:rsidP="00FB4890">
      <w:pPr>
        <w:pStyle w:val="Bodytext20"/>
        <w:shd w:val="clear" w:color="auto" w:fill="auto"/>
        <w:spacing w:before="0" w:after="120" w:line="240" w:lineRule="auto"/>
        <w:ind w:right="320" w:firstLine="0"/>
        <w:rPr>
          <w:rFonts w:ascii="Sylfaen" w:hAnsi="Sylfaen"/>
          <w:sz w:val="24"/>
          <w:szCs w:val="24"/>
        </w:rPr>
      </w:pPr>
    </w:p>
    <w:p w14:paraId="52ACAC75" w14:textId="77777777" w:rsidR="00441E2F" w:rsidRPr="00FB4890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Разработка механизма распределения пропускной способности межгосударственных линий электропередачи (далее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пропускная способность) предусмотрена абзацем пятым раздела V Концепции.</w:t>
      </w:r>
    </w:p>
    <w:p w14:paraId="4560F32C" w14:textId="77777777" w:rsidR="00441E2F" w:rsidRPr="00FB4890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Пропускная способность может использоваться в том числе для обеспечения взаимной торговли электрической энергией между участниками общего электроэнергетического рынка Союза, межгосударственной передачи электрической энергии, а также для обеспечения устойчивой работы электроэнергетических систем государств-членов.</w:t>
      </w:r>
    </w:p>
    <w:p w14:paraId="335DC3B0" w14:textId="77777777" w:rsidR="00441E2F" w:rsidRPr="00FB4890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С целью создания механизма распределения пропускной способности разрабатываются правила определения и распределения пропускной способности, предусматривающие:</w:t>
      </w:r>
    </w:p>
    <w:p w14:paraId="2F291593" w14:textId="77777777" w:rsidR="00E26233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порядок распределения и использования пропускной способности; </w:t>
      </w:r>
    </w:p>
    <w:p w14:paraId="562D6BB0" w14:textId="77777777" w:rsidR="00441E2F" w:rsidRPr="00FB4890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 взаимодействия инфраструктурных организаций с целью взаимного обмена информацией о пропускной способности и об объемах заключенных договоров;</w:t>
      </w:r>
    </w:p>
    <w:p w14:paraId="27891D20" w14:textId="77777777" w:rsidR="00441E2F" w:rsidRPr="00FB4890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 определения наличия технических возможностей, учитывающий следующую приоритетность определения технической возможности межгосударственной передачи электрической энергии (мощности), установленную пунктом 7 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 (приложение № 21 к Договору):</w:t>
      </w:r>
    </w:p>
    <w:p w14:paraId="522F1477" w14:textId="77777777" w:rsidR="00441E2F" w:rsidRPr="00FB4890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обеспечение внутренних потребностей в электрической энергии (мощности) государства-члена, через электроэнергетическую систему которого планируется осуществление межгосударственной передачи;</w:t>
      </w:r>
    </w:p>
    <w:p w14:paraId="7330E9C7" w14:textId="77777777" w:rsidR="00441E2F" w:rsidRPr="00FB4890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обеспечение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межгосударственной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передачи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электрической</w:t>
      </w:r>
      <w:r w:rsidR="00E9117B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энергии (мощности) из одной части электроэнергетической системы государства-члена в другую ее часть через электроэнергетическую систему сопредельного государства-члена;</w:t>
      </w:r>
    </w:p>
    <w:p w14:paraId="36855B40" w14:textId="77777777" w:rsidR="00441E2F" w:rsidRPr="00FB4890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обеспечение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межгосударственной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передачи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электрической</w:t>
      </w:r>
      <w:r w:rsidR="00E9117B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энергии (мощности) через электроэнергетическую систему государства- члена из электроэнергетической системы одного государства-члена в электроэнергетическую систему другого государства-члена;</w:t>
      </w:r>
    </w:p>
    <w:p w14:paraId="350A65B7" w14:textId="77777777" w:rsidR="00441E2F" w:rsidRPr="00FB4890" w:rsidRDefault="00A31C73" w:rsidP="00FE48E9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обеспечение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межгосударственной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передачи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электрической</w:t>
      </w:r>
      <w:r w:rsidR="00E9117B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энергии (мощности) через электроэнергетическую систему государства- члена в целях исполнения обязательств в отношении субъектов электроэнергетики третьих государств.</w:t>
      </w:r>
    </w:p>
    <w:p w14:paraId="6AECF18C" w14:textId="77777777" w:rsidR="00441E2F" w:rsidRDefault="00FB4890" w:rsidP="00E9117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Развитие межгосударственных электрических сетей</w:t>
      </w:r>
    </w:p>
    <w:p w14:paraId="1EFB806C" w14:textId="77777777" w:rsidR="00E9117B" w:rsidRPr="00FB4890" w:rsidRDefault="00E9117B" w:rsidP="00E9117B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14:paraId="317A6CC0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Существующие межгосударственные линии электропередачи позволяют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организовать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функционирование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общего</w:t>
      </w:r>
      <w:r w:rsidR="00E9117B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электроэнергетического рынка Союза после вступления в силу международного договора.</w:t>
      </w:r>
    </w:p>
    <w:p w14:paraId="40AAE076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Развитие инфраструктуры общего электроэнергетического рынка Союза в интересах его участников и взаимодействие государств-членов по вопросам развития межгосударственных электрических сетей осуществляются в соответствии с разделом X Концепции.</w:t>
      </w:r>
    </w:p>
    <w:p w14:paraId="7671D91E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С целью развития межгосударственных электрических сетей разрабатывается положение о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развитии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межгосударственных</w:t>
      </w:r>
      <w:r w:rsidR="00E9117B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электрических сетей, предусматривающее:</w:t>
      </w:r>
    </w:p>
    <w:p w14:paraId="08A35454" w14:textId="77777777" w:rsidR="00E9117B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порядок подготовки предложений по согласованию сроков и параметров сооружения межгосударственных линий электропередачи; </w:t>
      </w:r>
    </w:p>
    <w:p w14:paraId="7CE6DAE0" w14:textId="77777777" w:rsidR="00E9117B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механизм развития межгосударственных электрических сетей; </w:t>
      </w:r>
    </w:p>
    <w:p w14:paraId="3F67C4B4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определение организаций государств-членов, уполномоченных на подготовку предложений по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развитию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межгосударственных</w:t>
      </w:r>
      <w:r w:rsidR="00E9117B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электрических сетей, согласованию сроков и параметров сооружения межгосударственных линий электропередачи.</w:t>
      </w:r>
    </w:p>
    <w:p w14:paraId="0AF1F4A7" w14:textId="77777777" w:rsidR="00E9117B" w:rsidRDefault="00E9117B" w:rsidP="00FB4890">
      <w:pPr>
        <w:pStyle w:val="Bodytext20"/>
        <w:shd w:val="clear" w:color="auto" w:fill="auto"/>
        <w:spacing w:before="0" w:after="120" w:line="240" w:lineRule="auto"/>
        <w:ind w:left="920" w:right="880" w:firstLine="0"/>
        <w:rPr>
          <w:rFonts w:ascii="Sylfaen" w:hAnsi="Sylfaen"/>
          <w:sz w:val="24"/>
          <w:szCs w:val="24"/>
          <w:lang w:eastAsia="hy-AM" w:bidi="hy-AM"/>
        </w:rPr>
      </w:pPr>
    </w:p>
    <w:p w14:paraId="7F43542D" w14:textId="77777777" w:rsidR="00441E2F" w:rsidRDefault="00FB4890" w:rsidP="00E9117B">
      <w:pPr>
        <w:pStyle w:val="Bodytext20"/>
        <w:shd w:val="clear" w:color="auto" w:fill="auto"/>
        <w:spacing w:before="0" w:after="120" w:line="240" w:lineRule="auto"/>
        <w:ind w:left="142"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  <w:lang w:val="hy-AM" w:eastAsia="hy-AM" w:bidi="hy-AM"/>
        </w:rPr>
        <w:t>III.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Развитие взаимной торговли электрической энергией между участниками общего электроэнергетического рынка Союза по свободным двусторонним договорам</w:t>
      </w:r>
    </w:p>
    <w:p w14:paraId="55013450" w14:textId="77777777" w:rsidR="00E9117B" w:rsidRPr="00FB4890" w:rsidRDefault="00E9117B" w:rsidP="00E9117B">
      <w:pPr>
        <w:pStyle w:val="Bodytext20"/>
        <w:shd w:val="clear" w:color="auto" w:fill="auto"/>
        <w:spacing w:before="0" w:after="120" w:line="240" w:lineRule="auto"/>
        <w:ind w:left="142" w:right="-1" w:firstLine="0"/>
        <w:jc w:val="center"/>
        <w:rPr>
          <w:rFonts w:ascii="Sylfaen" w:hAnsi="Sylfaen"/>
          <w:sz w:val="24"/>
          <w:szCs w:val="24"/>
        </w:rPr>
      </w:pPr>
    </w:p>
    <w:p w14:paraId="2A40C58B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Развитие взаимной торговли электрической энергией между участниками общего электроэнергетического рынка Союза по свободным двусторонним договорам (далее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взаимная торговля электрической энергией по свободным двусторонним договорам) осуществляется в соответствии с абзацами вторым и шестым раздела V Концепции.</w:t>
      </w:r>
    </w:p>
    <w:p w14:paraId="11E72F3B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Для развития взаимной торговли электрической энергией по свободным двусторонним договорам:</w:t>
      </w:r>
    </w:p>
    <w:p w14:paraId="6D0B93B7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формируется состав участников взаимной торговли электрической энергией по свободным двусторонним договорам в соответствии с подразделом 2 раздела I настоящей Программы;</w:t>
      </w:r>
    </w:p>
    <w:p w14:paraId="702ED6E7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правилах взаимной торговли электрической энергией, разрабатываемых с учетом особенностей электроэнергетических рынков государств-членов, предусматриваются:</w:t>
      </w:r>
    </w:p>
    <w:p w14:paraId="4FF74CD6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порядок и процедуры доступа участников общего электроэнергетического рынка Союза к осуществлению взаимной торговли по свободным двусторонним </w:t>
      </w:r>
      <w:r w:rsidRPr="00FB4890">
        <w:rPr>
          <w:rFonts w:ascii="Sylfaen" w:hAnsi="Sylfaen"/>
          <w:sz w:val="24"/>
          <w:szCs w:val="24"/>
        </w:rPr>
        <w:lastRenderedPageBreak/>
        <w:t>договорам;</w:t>
      </w:r>
    </w:p>
    <w:p w14:paraId="5D4B7D64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механизмы взаимодействия между субъектами общего электроэнергетического рынка Союза при взаимной торговле электрической энергией по свободным двусторонним договорам;</w:t>
      </w:r>
    </w:p>
    <w:p w14:paraId="34164264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 заключения, регистрации и учета договоров между участниками общего электроэнергетического рынка Союза при взаимной торговле электрической энергией по свободным двусторонним договорам;</w:t>
      </w:r>
    </w:p>
    <w:p w14:paraId="54FDC0BB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формируется технологическая основа взаимной торговли электрической энергией по свободным двусторонним договорам, в том числе в правилах определения и распределения пропускной способности предусматривается механизм учета пропускной способности и ее распределения между участниками взаимной торговли электрической энергией по свободным двусторонним договорам.</w:t>
      </w:r>
    </w:p>
    <w:p w14:paraId="25D7ADF0" w14:textId="77777777" w:rsidR="00441E2F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Объемы заключенных свободных двусторонних договоров должны регистрироваться и учитываться на внутренних рынках электрической энергии государств-членов в соответствии с законодательством государств-членов.</w:t>
      </w:r>
    </w:p>
    <w:p w14:paraId="5E388828" w14:textId="77777777" w:rsidR="00E9117B" w:rsidRDefault="00E9117B" w:rsidP="00FB4890">
      <w:pPr>
        <w:pStyle w:val="Bodytext20"/>
        <w:shd w:val="clear" w:color="auto" w:fill="auto"/>
        <w:spacing w:before="0" w:after="120" w:line="240" w:lineRule="auto"/>
        <w:ind w:left="580" w:right="600" w:firstLine="0"/>
        <w:rPr>
          <w:rFonts w:ascii="Sylfaen" w:hAnsi="Sylfaen"/>
          <w:sz w:val="24"/>
          <w:szCs w:val="24"/>
          <w:lang w:eastAsia="hy-AM" w:bidi="hy-AM"/>
        </w:rPr>
      </w:pPr>
    </w:p>
    <w:p w14:paraId="39CC5AAC" w14:textId="77777777" w:rsidR="00441E2F" w:rsidRDefault="00FB4890" w:rsidP="00E9117B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  <w:lang w:val="hy-AM" w:eastAsia="hy-AM" w:bidi="hy-AM"/>
        </w:rPr>
        <w:t>IV.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Организация взаимной торговли электрической энергией между участниками общего электроэнергетического рынка Союза на централизованных торгах</w:t>
      </w:r>
    </w:p>
    <w:p w14:paraId="6FBF40CA" w14:textId="77777777" w:rsidR="00E9117B" w:rsidRPr="00FB4890" w:rsidRDefault="00E9117B" w:rsidP="00E9117B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17256A17" w14:textId="77777777" w:rsidR="00441E2F" w:rsidRDefault="00FB4890" w:rsidP="00E9117B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Способы осуществления взаимной торговли электрической энергией между участниками общего электроэнергетического рынка Союза на централизованных торгах</w:t>
      </w:r>
    </w:p>
    <w:p w14:paraId="1163ACA1" w14:textId="77777777" w:rsidR="00E9117B" w:rsidRPr="00FB4890" w:rsidRDefault="00E9117B" w:rsidP="00E9117B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37E25FC6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Организация взаимной торговли электрической энергией между участниками общего электроэнергетического рынка Союза на централизованных торгах осуществляется в соответствии с абзацами третьим и седьмым раздела V Концепции.</w:t>
      </w:r>
    </w:p>
    <w:p w14:paraId="02810D1E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Взаимная торговля электрической энергией на централизованных торгах осуществляется с использованием электронной системы торговли следующими способами:</w:t>
      </w:r>
    </w:p>
    <w:p w14:paraId="2BE0F7BD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торговля по срочным контрактам купли-продажи (поставки) электрической энергии с использованием электронной системы торговли (далее - централизованная торговля по срочным контрактам);</w:t>
      </w:r>
    </w:p>
    <w:p w14:paraId="708CDE35" w14:textId="77777777" w:rsidR="00441E2F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торговля почасовыми объемами электрической энергии на сутки вперед (далее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централизованная торговля на сутки вперед) с использованием согласованного государствами-членами алгоритма.</w:t>
      </w:r>
    </w:p>
    <w:p w14:paraId="67359236" w14:textId="77777777" w:rsidR="00E9117B" w:rsidRDefault="00E9117B">
      <w:pPr>
        <w:rPr>
          <w:rFonts w:eastAsia="Times New Roman" w:cs="Times New Roman"/>
        </w:rPr>
      </w:pPr>
      <w:r>
        <w:br w:type="page"/>
      </w:r>
    </w:p>
    <w:p w14:paraId="0D36FE4F" w14:textId="77777777" w:rsidR="00441E2F" w:rsidRDefault="00FB4890" w:rsidP="00E9117B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lastRenderedPageBreak/>
        <w:t>2.</w:t>
      </w:r>
      <w:r>
        <w:rPr>
          <w:rFonts w:ascii="Sylfaen" w:hAnsi="Sylfaen"/>
          <w:sz w:val="24"/>
          <w:szCs w:val="24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Организация централизованной торговли по срочным контрактам</w:t>
      </w:r>
    </w:p>
    <w:p w14:paraId="11C6C444" w14:textId="77777777" w:rsidR="00E9117B" w:rsidRPr="00FB4890" w:rsidRDefault="00E9117B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11641496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Для организации централизованной торговли по срочным контрактам в целях предоставления заинтересованным участникам общего электроэнергетического рынка Союза возможности участия на добровольной основе в торгах:</w:t>
      </w:r>
    </w:p>
    <w:p w14:paraId="47767497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определяется возможность использования существующих в государствах-членах площадок для централизованной торговли по срочным контрактам или необходимость создания новых площадок;</w:t>
      </w:r>
    </w:p>
    <w:p w14:paraId="2663A43E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формируется состав участников централизованной торговли по срочным контрактам в соответствии с подразделом 2 раздела I настоящей Программы;</w:t>
      </w:r>
    </w:p>
    <w:p w14:paraId="57A09AC4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правилах взаимной торговли электрической энергией, разрабатываемых с учетом особенностей электроэнергетических рынков государств-членов, предусматриваются:</w:t>
      </w:r>
    </w:p>
    <w:p w14:paraId="475E2C8A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 и процедуры доступа участников общего электроэнергетического рынка Союза к централизованным торгам по срочным контрактам;</w:t>
      </w:r>
    </w:p>
    <w:p w14:paraId="02DF9416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 проведения торгов и определения цены купли-продажи (поставки) электрической энергии с учетом особенностей электроэнергетических рынков государств-членов, а также условия заключения договоров (контрактов) при централизованной торговле по срочным контрактам;</w:t>
      </w:r>
    </w:p>
    <w:p w14:paraId="5640BD53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 учета договоров между участниками общего электроэнергетического рынка Союза при централизованной торговле по срочным контрактам;</w:t>
      </w:r>
    </w:p>
    <w:p w14:paraId="0CABEEE0" w14:textId="77777777" w:rsidR="00E9117B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требования к торговым площадкам и регламент их работы; </w:t>
      </w:r>
    </w:p>
    <w:p w14:paraId="3AF7CA10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формируется технологическая основа централизованной торговли по срочным контрактам, в том числе электронная система торговли, обеспечивающая проведение централизованных торгов по срочным контрактам;</w:t>
      </w:r>
    </w:p>
    <w:p w14:paraId="4F0F949D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правилах определения и распределения пропускной способности предусматривается механизм учета пропускной способности и ее распределения между участниками централизованной торговли по срочным контрактам;</w:t>
      </w:r>
    </w:p>
    <w:p w14:paraId="23C52BD8" w14:textId="77777777" w:rsidR="00441E2F" w:rsidRPr="00FB4890" w:rsidRDefault="00A31C73" w:rsidP="00E9117B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правилах информационного обмена предусматривается механизм информационного обмена, обеспечивающий взаимодействие субъектов общего электроэнергетического рынка Союза при централизованной торговле по срочным контрактам.</w:t>
      </w:r>
    </w:p>
    <w:p w14:paraId="5E2FCB05" w14:textId="77777777" w:rsidR="00E9117B" w:rsidRDefault="00E9117B">
      <w:pPr>
        <w:rPr>
          <w:rFonts w:eastAsia="Times New Roman" w:cs="Times New Roman"/>
        </w:rPr>
      </w:pPr>
      <w:r>
        <w:br w:type="page"/>
      </w:r>
    </w:p>
    <w:p w14:paraId="6A8C5894" w14:textId="77777777" w:rsidR="00441E2F" w:rsidRDefault="00FB4890" w:rsidP="004318C6">
      <w:pPr>
        <w:pStyle w:val="Bodytext20"/>
        <w:shd w:val="clear" w:color="auto" w:fill="auto"/>
        <w:spacing w:before="0" w:after="120" w:line="24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Организация централизованной торговли электрической энергией на сутки вперед</w:t>
      </w:r>
    </w:p>
    <w:p w14:paraId="252F16D6" w14:textId="77777777" w:rsidR="00E9117B" w:rsidRPr="00FB4890" w:rsidRDefault="00E9117B" w:rsidP="00FB4890">
      <w:pPr>
        <w:pStyle w:val="Bodytext20"/>
        <w:shd w:val="clear" w:color="auto" w:fill="auto"/>
        <w:spacing w:before="0" w:after="120" w:line="240" w:lineRule="auto"/>
        <w:ind w:left="2380" w:right="2080"/>
        <w:rPr>
          <w:rFonts w:ascii="Sylfaen" w:hAnsi="Sylfaen"/>
          <w:sz w:val="24"/>
          <w:szCs w:val="24"/>
        </w:rPr>
      </w:pPr>
    </w:p>
    <w:p w14:paraId="1A8BC6E4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Для организации централизованной торговли на сутки вперед:</w:t>
      </w:r>
    </w:p>
    <w:p w14:paraId="7F59E6AD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разрабатываются общие подходы к модели централизованной торговли на сутки вперед;</w:t>
      </w:r>
    </w:p>
    <w:p w14:paraId="36F3707C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разрабатываются механизм и порядок проведения централизованных торгов на сутки вперед, а также порядок определения цены на электрическую энергию;</w:t>
      </w:r>
    </w:p>
    <w:p w14:paraId="342F25C8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определяется порядок использования пропускной способности участниками двусторонней и централизованной торговли электрической энергией, включая централизованную торговлю на сутки вперед.</w:t>
      </w:r>
    </w:p>
    <w:p w14:paraId="0FC9303E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 результатам выполнения указанных мероприятий определяется возможность использования существующих в государствах-членах площадок для централизованной торговли на сутки вперед или целесообразность создания новой площадки.</w:t>
      </w:r>
    </w:p>
    <w:p w14:paraId="344C720C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На соответствующем этапе формирования общего электроэнергетического рынка Союза при условии экономической целесообразности централизованной торговли на сутки вперед:</w:t>
      </w:r>
    </w:p>
    <w:p w14:paraId="73C000AF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формируется состав участников централизованной торговли на сутки вперед в соответствии с подразделом 2 раздела I настоящей Программы;</w:t>
      </w:r>
    </w:p>
    <w:p w14:paraId="27E740F9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правилах взаимной торговли электрической энергией предусматриваются:</w:t>
      </w:r>
    </w:p>
    <w:p w14:paraId="6DB44C9F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и процедуры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доступа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участников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общего</w:t>
      </w:r>
      <w:r w:rsidR="004318C6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электроэнергетического рынка Союза к централизованным торгам на сутки вперед;</w:t>
      </w:r>
    </w:p>
    <w:p w14:paraId="38EC6A7F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алгоритм координации торгов на сутки вперед в государствах- членах;</w:t>
      </w:r>
    </w:p>
    <w:p w14:paraId="60BE51FE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механизм и порядок проведения скоординированных торгов, а также порядок определения цены на электрическую энергию;</w:t>
      </w:r>
    </w:p>
    <w:p w14:paraId="005C5E89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учета договоров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между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участниками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общего</w:t>
      </w:r>
      <w:r w:rsidR="004318C6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электроэнергетического рынка Союза при централизованной торговле на сутки вперед;</w:t>
      </w:r>
    </w:p>
    <w:p w14:paraId="72A35867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 проведения финансовых расчетов при централизованной торговле на сутки вперед;</w:t>
      </w:r>
    </w:p>
    <w:p w14:paraId="7F834ED1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формируется технологическая основа централизованной торговли на сутки вперед, в том числе электронная система торговли, обеспечивающая проведение централизованных торгов на сутки вперед;</w:t>
      </w:r>
    </w:p>
    <w:p w14:paraId="6B73A9A0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правилах определения и распределения пропускной способности предусматривается механизм учета пропускной способности и ее распределения между участниками централизованной торговли на сутки вперед;</w:t>
      </w:r>
    </w:p>
    <w:p w14:paraId="4F3F4926" w14:textId="77777777" w:rsidR="00441E2F" w:rsidRDefault="00A31C73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в правилах информационного обмена предусматривается механизм </w:t>
      </w:r>
      <w:r w:rsidRPr="00FB4890">
        <w:rPr>
          <w:rFonts w:ascii="Sylfaen" w:hAnsi="Sylfaen"/>
          <w:sz w:val="24"/>
          <w:szCs w:val="24"/>
        </w:rPr>
        <w:lastRenderedPageBreak/>
        <w:t>информационного обмена, обеспечивающий взаимодействие субъектов общего электроэнергетического рынка Союза при централизованной торговле на сутки вперед.</w:t>
      </w:r>
    </w:p>
    <w:p w14:paraId="49E6118B" w14:textId="77777777" w:rsidR="004318C6" w:rsidRPr="00FB4890" w:rsidRDefault="004318C6" w:rsidP="004318C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14:paraId="1A3BDA10" w14:textId="77777777" w:rsidR="00441E2F" w:rsidRDefault="00FB4890" w:rsidP="004318C6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  <w:lang w:val="hy-AM" w:eastAsia="hy-AM" w:bidi="hy-AM"/>
        </w:rPr>
        <w:t>V.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Формирование системы урегулирования почасовых отклонений фактических сальдо-перетоков электрической энергии от плановых значений</w:t>
      </w:r>
    </w:p>
    <w:p w14:paraId="0529661E" w14:textId="77777777" w:rsidR="004318C6" w:rsidRPr="00FB4890" w:rsidRDefault="004318C6" w:rsidP="00FB4890">
      <w:pPr>
        <w:pStyle w:val="Bodytext20"/>
        <w:shd w:val="clear" w:color="auto" w:fill="auto"/>
        <w:spacing w:before="0" w:after="120" w:line="240" w:lineRule="auto"/>
        <w:ind w:left="480" w:right="640" w:firstLine="0"/>
        <w:rPr>
          <w:rFonts w:ascii="Sylfaen" w:hAnsi="Sylfaen"/>
          <w:sz w:val="24"/>
          <w:szCs w:val="24"/>
        </w:rPr>
      </w:pPr>
    </w:p>
    <w:p w14:paraId="203F3942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Система урегулирования почасовых отклонений фактических сальдо-перетоков электрической энергии от плановых значений формируется в соответствии с абзацем четвертым и восьмым раздела V Концепции с целью обеспечения физического урегулирования почасовых отклонений фактических сальдо-перетоков электрической энергии по межгосударственным линиям электропередачи (межгосударственным сечениям) от плановых значений, если это не противоречит законодательству государств-членов и правилам функционирования электроэнергетических рынков государств-членов, между энергосистемами которых должны быть урегулированы указанные отклонения, и финансового урегулирования почасовых отклонений сальдо-перетоков электрической энергии, возникающих в операционные сутки между фактическими и плановыми величинами, включенными в суточный график взаимных поставок электрической энергии.</w:t>
      </w:r>
    </w:p>
    <w:p w14:paraId="348460D5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целях формирования системы урегулирования почасовых отклонений фактических сальдо-перетоков электрической энергии от плановых значений и соблюдения взаимосогласованных плановых графиков поставок:</w:t>
      </w:r>
    </w:p>
    <w:p w14:paraId="5583ACA3" w14:textId="77777777" w:rsidR="00441E2F" w:rsidRDefault="00A31C73" w:rsidP="004318C6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уполномочиваются системные операторы в качестве ответственных за формирование и выполнение суточного почасового графика сальдо-перетоков между электроэнергетическими системами государств-членов или сальдо-перетоков энергосистем государств- членов (включая распределение по межгосударственным сечениям (при необходимости));</w:t>
      </w:r>
    </w:p>
    <w:p w14:paraId="3782BA37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определяются организации, уполномоченные на финансовое урегулирование почасовых отклонений фактических сальдо-перетоков электрической энергии от плановых значений;</w:t>
      </w:r>
    </w:p>
    <w:p w14:paraId="2D2E9105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правилах взаимной торговли электрической энергией предусматриваются:</w:t>
      </w:r>
    </w:p>
    <w:p w14:paraId="6E7E39C4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 определения почасовых отклонений фактических сальдо- перетоков электрической энергии от плановых значений;</w:t>
      </w:r>
    </w:p>
    <w:p w14:paraId="7B7B02F2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механизм физического урегулирования отклонений фактических сальдо-перетоков электрической энергии от плановых значений;</w:t>
      </w:r>
    </w:p>
    <w:p w14:paraId="392CE9BD" w14:textId="77777777" w:rsidR="00441E2F" w:rsidRPr="00FB4890" w:rsidRDefault="00A31C73" w:rsidP="004318C6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механизм финансового урегулирования почасовых отклонений фактических сальдо-перетоков электрической энергии от плановых значений;</w:t>
      </w:r>
    </w:p>
    <w:p w14:paraId="0B0FB9D3" w14:textId="77777777" w:rsidR="00441E2F" w:rsidRPr="00FB4890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механизм ценообразования при финансовом урегулировании почасовых </w:t>
      </w:r>
      <w:r w:rsidRPr="00FB4890">
        <w:rPr>
          <w:rFonts w:ascii="Sylfaen" w:hAnsi="Sylfaen"/>
          <w:sz w:val="24"/>
          <w:szCs w:val="24"/>
        </w:rPr>
        <w:lastRenderedPageBreak/>
        <w:t>отклонений фактических сальдо-перетоков электрической энергии от плановых значений, предусматривающий обеспечение равноправия участников общего электроэнергетического рынка Союза и электроэнергетических рынков государств-членов, компенсацию затрат уполномоченных организаций при финансовом урегулировании почасовых отклонений фактических сальдо-перетоков от плановых значений и прозрачность ценообразования;</w:t>
      </w:r>
    </w:p>
    <w:p w14:paraId="75589609" w14:textId="77777777" w:rsidR="00441E2F" w:rsidRPr="00FB4890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перечень договорных отношений,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необходимых для</w:t>
      </w:r>
      <w:r w:rsidR="00AC105D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урегулирования почасовых отклонений фактических сальдо-перетоков электрической энергии от плановых значений, а также порядок разработки и заключения договоров между уполномоченными организациями государств-членов;</w:t>
      </w:r>
    </w:p>
    <w:p w14:paraId="6280D4EC" w14:textId="77777777" w:rsidR="00441E2F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механизмы взаимодействия между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субъектами общего</w:t>
      </w:r>
      <w:r w:rsidR="00AC105D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электроэнергетического рынка Союза при урегулировании почасовых отклонений фактических сальдо-перетоков электрической энергии от плановых значений.</w:t>
      </w:r>
    </w:p>
    <w:p w14:paraId="0375531B" w14:textId="77777777" w:rsidR="00AC105D" w:rsidRDefault="00AC105D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4701DF77" w14:textId="77777777" w:rsidR="00AC105D" w:rsidRPr="00AC105D" w:rsidRDefault="00AC105D" w:rsidP="00AC105D">
      <w:pPr>
        <w:pStyle w:val="Headerorfooter0"/>
        <w:shd w:val="clear" w:color="auto" w:fill="auto"/>
        <w:spacing w:line="240" w:lineRule="auto"/>
        <w:rPr>
          <w:rFonts w:ascii="Sylfaen" w:hAnsi="Sylfaen"/>
          <w:sz w:val="24"/>
        </w:rPr>
      </w:pPr>
      <w:r w:rsidRPr="00AC105D">
        <w:rPr>
          <w:rStyle w:val="Headerorfooter1"/>
          <w:rFonts w:ascii="Sylfaen" w:hAnsi="Sylfaen"/>
          <w:sz w:val="24"/>
          <w:lang w:val="hy-AM" w:eastAsia="hy-AM" w:bidi="hy-AM"/>
        </w:rPr>
        <w:t xml:space="preserve">VI. </w:t>
      </w:r>
      <w:r w:rsidRPr="00AC105D">
        <w:rPr>
          <w:rStyle w:val="Headerorfooter1"/>
          <w:rFonts w:ascii="Sylfaen" w:hAnsi="Sylfaen"/>
          <w:sz w:val="24"/>
        </w:rPr>
        <w:t>Регулирование общего электроэнергетического рынка Союза</w:t>
      </w:r>
    </w:p>
    <w:p w14:paraId="2DE6BBF6" w14:textId="77777777" w:rsidR="00AC105D" w:rsidRPr="00AC105D" w:rsidRDefault="00AC105D" w:rsidP="00AC105D">
      <w:pPr>
        <w:pStyle w:val="Bodytext20"/>
        <w:shd w:val="clear" w:color="auto" w:fill="auto"/>
        <w:spacing w:before="0" w:after="120" w:line="240" w:lineRule="auto"/>
        <w:ind w:left="160" w:right="180" w:firstLine="0"/>
        <w:jc w:val="center"/>
        <w:rPr>
          <w:rFonts w:ascii="Sylfaen" w:hAnsi="Sylfaen"/>
          <w:sz w:val="20"/>
          <w:szCs w:val="24"/>
        </w:rPr>
      </w:pPr>
    </w:p>
    <w:p w14:paraId="07C59D25" w14:textId="77777777" w:rsidR="00441E2F" w:rsidRPr="00FB4890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В соответствии с разделом VII Концепции регулирование общего электроэнергетического рынка Союза включает в себя:</w:t>
      </w:r>
    </w:p>
    <w:p w14:paraId="432A4093" w14:textId="77777777" w:rsidR="00441E2F" w:rsidRPr="00FB4890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регулирование деятельности субъектов естественных монополий в сфере электроэнергетики на основе права Союза и в соответствии с законодательством государств-членов;</w:t>
      </w:r>
    </w:p>
    <w:p w14:paraId="46FC20B7" w14:textId="77777777" w:rsidR="00441E2F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антимонопольное регулирование, осуществляемое в соответствии с разделом XVIII Договора с учетом особенностей, установленных разделами XIX и XX Договора и законодательством государств-членов.</w:t>
      </w:r>
    </w:p>
    <w:p w14:paraId="517FFA1A" w14:textId="77777777" w:rsidR="00AC105D" w:rsidRPr="00FB4890" w:rsidRDefault="00AC105D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35AA8752" w14:textId="77777777" w:rsidR="00441E2F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1 .Регулирование деятельности субъектов естественных монополий</w:t>
      </w:r>
      <w:r w:rsidR="00AC105D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в сфере электроэнергетики</w:t>
      </w:r>
    </w:p>
    <w:p w14:paraId="6A162064" w14:textId="77777777" w:rsidR="00AC105D" w:rsidRPr="00FB4890" w:rsidRDefault="00AC105D" w:rsidP="00AC105D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6DE580BB" w14:textId="77777777" w:rsidR="00441E2F" w:rsidRPr="00FB4890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Регулирование деятельности субъектов естественных монополий в сфере электроэнергетики осуществляется в соответствии с разделом XIX Договора.</w:t>
      </w:r>
    </w:p>
    <w:p w14:paraId="18886F10" w14:textId="77777777" w:rsidR="00441E2F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Государствами-членами совместно с Евразийской экономической комиссией (далее -</w:t>
      </w:r>
      <w:r w:rsidRPr="00FB4890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FB4890">
        <w:rPr>
          <w:rFonts w:ascii="Sylfaen" w:hAnsi="Sylfaen"/>
          <w:sz w:val="24"/>
          <w:szCs w:val="24"/>
        </w:rPr>
        <w:t>Комиссия) разрабатываются единые правила доступа к услугам субъектов естественных монополий в сфере электроэнергетики для применения в рамках общего электроэнергетического рынка Союза.</w:t>
      </w:r>
    </w:p>
    <w:p w14:paraId="4519664B" w14:textId="77777777" w:rsidR="00AC105D" w:rsidRDefault="00AC105D">
      <w:pPr>
        <w:rPr>
          <w:rFonts w:eastAsia="Times New Roman" w:cs="Times New Roman"/>
        </w:rPr>
      </w:pPr>
      <w:r>
        <w:br w:type="page"/>
      </w:r>
    </w:p>
    <w:p w14:paraId="7A762EE6" w14:textId="77777777" w:rsidR="00441E2F" w:rsidRDefault="00A31C73" w:rsidP="00AC105D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lastRenderedPageBreak/>
        <w:t>2.Антимонопольное регулирование</w:t>
      </w:r>
    </w:p>
    <w:p w14:paraId="22F21DB9" w14:textId="77777777" w:rsidR="00AC105D" w:rsidRPr="00FB4890" w:rsidRDefault="00AC105D" w:rsidP="00AC105D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14:paraId="3D6B18E6" w14:textId="77777777" w:rsidR="00441E2F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Антимонопольное регулирование общего электроэнергетического рынка Союза осуществляется в соответствии с разделом XVIII Договора с учетом особенностей, установленных разделами XIX и XX Договора и законодательством государств-членов.</w:t>
      </w:r>
    </w:p>
    <w:p w14:paraId="50A70F76" w14:textId="77777777" w:rsidR="00441E2F" w:rsidRPr="00FB4890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Государствами-членами совместно с Комиссией проводится оценка целесообразности и необходимости установления особенностей применения общих правил конкуренции на общем электроэнергетическом рынке Союза в соответствии с пунктом 11 Протокола об общих принципах и правилах конкуренции (приложение № 19 к Договору).</w:t>
      </w:r>
    </w:p>
    <w:p w14:paraId="34090EE4" w14:textId="77777777" w:rsidR="00AC105D" w:rsidRDefault="00AC105D" w:rsidP="00FB4890">
      <w:pPr>
        <w:pStyle w:val="Bodytext20"/>
        <w:shd w:val="clear" w:color="auto" w:fill="auto"/>
        <w:spacing w:before="0" w:after="120" w:line="240" w:lineRule="auto"/>
        <w:ind w:left="1360" w:right="1520" w:firstLine="340"/>
        <w:rPr>
          <w:rFonts w:ascii="Sylfaen" w:hAnsi="Sylfaen"/>
          <w:sz w:val="24"/>
          <w:szCs w:val="24"/>
        </w:rPr>
      </w:pPr>
    </w:p>
    <w:p w14:paraId="5A8CFF51" w14:textId="77777777" w:rsidR="00441E2F" w:rsidRDefault="00FB4890" w:rsidP="00AC105D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Управление общим электроэнергетическим рынком Союза и обеспечение его функционирования</w:t>
      </w:r>
    </w:p>
    <w:p w14:paraId="6E2BB2FF" w14:textId="77777777" w:rsidR="00AC105D" w:rsidRPr="00FB4890" w:rsidRDefault="00AC105D" w:rsidP="00AC105D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1D7EC20C" w14:textId="77777777" w:rsidR="00441E2F" w:rsidRPr="00FB4890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Организация управления общим электроэнергетическим рынком Союза и обеспечение его функционирования осуществляются в соответствии с разделом VIII Концепции.</w:t>
      </w:r>
    </w:p>
    <w:p w14:paraId="22E6FEEF" w14:textId="77777777" w:rsidR="00441E2F" w:rsidRPr="00FB4890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Для формирования общего электроэнергетического рынка Союза государствами-членами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обеспечивается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взаимодействие</w:t>
      </w:r>
      <w:r w:rsidR="00AC105D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государственных органов государств-членов, уполномоченных на регулирование в сфере электроэнергетики, инфраструктурных организаций и участников электроэнергетических рынков государств- членов.</w:t>
      </w:r>
    </w:p>
    <w:p w14:paraId="12CECF9F" w14:textId="77777777" w:rsidR="00441E2F" w:rsidRPr="00FB4890" w:rsidRDefault="00A31C73" w:rsidP="00AC105D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Целью взаимодействия является скоординированное выполнение мероприятий настоящей Программы, в том числе разработка проектов актов, регулирующих общий электроэнергетический рынок Союза.</w:t>
      </w:r>
    </w:p>
    <w:p w14:paraId="22FFD477" w14:textId="77777777" w:rsidR="00AC105D" w:rsidRDefault="00AC105D" w:rsidP="00FB4890">
      <w:pPr>
        <w:pStyle w:val="Bodytext20"/>
        <w:shd w:val="clear" w:color="auto" w:fill="auto"/>
        <w:spacing w:before="0" w:after="120" w:line="240" w:lineRule="auto"/>
        <w:ind w:left="1980" w:right="2040" w:firstLine="520"/>
        <w:rPr>
          <w:rFonts w:ascii="Sylfaen" w:hAnsi="Sylfaen"/>
          <w:sz w:val="24"/>
          <w:szCs w:val="24"/>
        </w:rPr>
      </w:pPr>
    </w:p>
    <w:p w14:paraId="4B869A91" w14:textId="77777777" w:rsidR="00441E2F" w:rsidRDefault="00FB4890" w:rsidP="00AC105D">
      <w:pPr>
        <w:pStyle w:val="Bodytext20"/>
        <w:shd w:val="clear" w:color="auto" w:fill="auto"/>
        <w:spacing w:before="0" w:after="120" w:line="24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VIII.</w:t>
      </w:r>
      <w:r>
        <w:rPr>
          <w:rFonts w:ascii="Sylfaen" w:hAnsi="Sylfaen"/>
          <w:sz w:val="24"/>
          <w:szCs w:val="24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>Система актов, регулирующих общий электроэнергетический рынок Союза</w:t>
      </w:r>
    </w:p>
    <w:p w14:paraId="05E49581" w14:textId="77777777" w:rsidR="00AC105D" w:rsidRPr="00FB4890" w:rsidRDefault="00AC105D" w:rsidP="00FB4890">
      <w:pPr>
        <w:pStyle w:val="Bodytext20"/>
        <w:shd w:val="clear" w:color="auto" w:fill="auto"/>
        <w:spacing w:before="0" w:after="120" w:line="240" w:lineRule="auto"/>
        <w:ind w:left="1980" w:right="2040" w:firstLine="520"/>
        <w:rPr>
          <w:rFonts w:ascii="Sylfaen" w:hAnsi="Sylfaen"/>
          <w:sz w:val="24"/>
          <w:szCs w:val="24"/>
        </w:rPr>
      </w:pPr>
    </w:p>
    <w:p w14:paraId="2D482DC3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Государствами-членами совместно с Комиссией разрабатываются акты, регулирующие общий электроэнергетический рынок Союза,</w:t>
      </w:r>
      <w:r w:rsidR="0038349C" w:rsidRP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обеспечивающие формирование и функционирование общего электроэнергетического рынка Союза.</w:t>
      </w:r>
    </w:p>
    <w:p w14:paraId="451058A6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Система актов, регулирующих общий электроэнергетический рынок Союза, включает в себя:</w:t>
      </w:r>
    </w:p>
    <w:p w14:paraId="1F25A4BC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международный договор;</w:t>
      </w:r>
    </w:p>
    <w:p w14:paraId="022D7E44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свод правил общего электроэнергетического рынка Союза, включающий в том числе:</w:t>
      </w:r>
    </w:p>
    <w:p w14:paraId="2651B27F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lastRenderedPageBreak/>
        <w:t>правила взаимной торговли электрической энергией;</w:t>
      </w:r>
    </w:p>
    <w:p w14:paraId="27398A08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правила определения и распределения пропускной способности;</w:t>
      </w:r>
    </w:p>
    <w:p w14:paraId="657121DB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положение о развитии межгосударственных электрических сетей;</w:t>
      </w:r>
    </w:p>
    <w:p w14:paraId="402CBD4E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правила информационного обмена;</w:t>
      </w:r>
    </w:p>
    <w:p w14:paraId="0F671EA6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иные акты, регулирующие общий электроэнергетический рынок Союза.</w:t>
      </w:r>
    </w:p>
    <w:p w14:paraId="020F7A75" w14:textId="77777777" w:rsidR="00441E2F" w:rsidRDefault="00A31C73" w:rsidP="003834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Порядок принятия свода правил общего электроэнергетического рынка Союза определяется международным договором.</w:t>
      </w:r>
    </w:p>
    <w:p w14:paraId="26D99E2B" w14:textId="77777777" w:rsidR="0038349C" w:rsidRPr="00FB4890" w:rsidRDefault="0038349C" w:rsidP="0038349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14:paraId="05958BED" w14:textId="77777777" w:rsidR="0038349C" w:rsidRDefault="00FB4890" w:rsidP="0038349C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IX.</w:t>
      </w:r>
      <w:r>
        <w:rPr>
          <w:rFonts w:ascii="Sylfaen" w:hAnsi="Sylfaen"/>
          <w:sz w:val="24"/>
          <w:szCs w:val="24"/>
        </w:rPr>
        <w:t xml:space="preserve"> </w:t>
      </w:r>
      <w:r w:rsidR="00A31C73" w:rsidRPr="00FB4890">
        <w:rPr>
          <w:rFonts w:ascii="Sylfaen" w:hAnsi="Sylfaen"/>
          <w:sz w:val="24"/>
          <w:szCs w:val="24"/>
        </w:rPr>
        <w:t xml:space="preserve">Реализация настоящей Программы </w:t>
      </w:r>
    </w:p>
    <w:p w14:paraId="5525C555" w14:textId="77777777" w:rsidR="0038349C" w:rsidRDefault="0038349C" w:rsidP="0038349C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25103D99" w14:textId="77777777" w:rsidR="00441E2F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1. Механизм реализации настоящей Программы</w:t>
      </w:r>
    </w:p>
    <w:p w14:paraId="7B17E9C0" w14:textId="77777777" w:rsidR="0038349C" w:rsidRPr="00FB4890" w:rsidRDefault="0038349C" w:rsidP="0038349C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5F6F5C6A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Государствами-членами принимаются планы по реализации мероприятий настоящей Программы.</w:t>
      </w:r>
    </w:p>
    <w:p w14:paraId="4E393D7A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Координация взаимодействия государств-членов по реализации настоящей Программы и мониторинг выполнения настоящей Программы осуществляются Комиссией.</w:t>
      </w:r>
    </w:p>
    <w:p w14:paraId="04F84B8A" w14:textId="77777777" w:rsidR="00441E2F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Государствами-членами совместно с Комиссией обеспечивается выполнение мероприятий настоящей Программы.</w:t>
      </w:r>
    </w:p>
    <w:p w14:paraId="447694EB" w14:textId="77777777" w:rsidR="0038349C" w:rsidRDefault="0038349C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143BE686" w14:textId="77777777" w:rsidR="0038349C" w:rsidRPr="0038349C" w:rsidRDefault="0038349C" w:rsidP="0038349C">
      <w:pPr>
        <w:pStyle w:val="Headerorfooter0"/>
        <w:shd w:val="clear" w:color="auto" w:fill="auto"/>
        <w:spacing w:line="240" w:lineRule="auto"/>
        <w:rPr>
          <w:rFonts w:ascii="Sylfaen" w:hAnsi="Sylfaen"/>
          <w:sz w:val="24"/>
        </w:rPr>
      </w:pPr>
      <w:r w:rsidRPr="0038349C">
        <w:rPr>
          <w:rStyle w:val="Headerorfooter1"/>
          <w:rFonts w:ascii="Sylfaen" w:hAnsi="Sylfaen"/>
          <w:sz w:val="24"/>
          <w:lang w:val="hy-AM" w:eastAsia="hy-AM" w:bidi="hy-AM"/>
        </w:rPr>
        <w:t xml:space="preserve">2. </w:t>
      </w:r>
      <w:r w:rsidRPr="0038349C">
        <w:rPr>
          <w:rStyle w:val="Headerorfooter1"/>
          <w:rFonts w:ascii="Sylfaen" w:hAnsi="Sylfaen"/>
          <w:sz w:val="24"/>
        </w:rPr>
        <w:t>Финансирование мероприятий настоящей Программы</w:t>
      </w:r>
    </w:p>
    <w:p w14:paraId="59074C6A" w14:textId="77777777" w:rsidR="0038349C" w:rsidRPr="0038349C" w:rsidRDefault="0038349C" w:rsidP="0038349C">
      <w:pPr>
        <w:pStyle w:val="Bodytext20"/>
        <w:shd w:val="clear" w:color="auto" w:fill="auto"/>
        <w:spacing w:before="0" w:after="120" w:line="240" w:lineRule="auto"/>
        <w:ind w:right="-1" w:firstLine="567"/>
        <w:jc w:val="center"/>
        <w:rPr>
          <w:rFonts w:ascii="Sylfaen" w:hAnsi="Sylfaen"/>
          <w:sz w:val="20"/>
          <w:szCs w:val="24"/>
        </w:rPr>
      </w:pPr>
    </w:p>
    <w:p w14:paraId="080B5F05" w14:textId="77777777" w:rsidR="00441E2F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Финансовое обеспечение реализации мероприятий настоящей Программы осуществляется Комиссией в соответствии с ее полномочиями за счет средств бюджета Союза, уполномоченными органами государств-членов за счет средств бюджетов государств- членов в соответствии с законодательством этих государств. Для финансирования мероприятий, предусмотренных разделом III плана мероприятий по формированию общего электроэнергетического рынка Союза (приложение к настоящей Программе), могут привлекаться внебюджетные источники.</w:t>
      </w:r>
    </w:p>
    <w:p w14:paraId="3748F47F" w14:textId="77777777" w:rsidR="0038349C" w:rsidRPr="00FB4890" w:rsidRDefault="0038349C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04D87007" w14:textId="77777777" w:rsidR="00441E2F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3. Мониторинг выполнения настоящей Программы</w:t>
      </w:r>
    </w:p>
    <w:p w14:paraId="7E4E5F62" w14:textId="77777777" w:rsidR="0038349C" w:rsidRPr="00FB4890" w:rsidRDefault="0038349C" w:rsidP="0038349C">
      <w:pPr>
        <w:pStyle w:val="Bodytext20"/>
        <w:shd w:val="clear" w:color="auto" w:fill="auto"/>
        <w:spacing w:before="0" w:after="120" w:line="24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1FAE1E33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Мониторинг выполнения настоящей Программы осуществляется Комиссией.</w:t>
      </w:r>
    </w:p>
    <w:p w14:paraId="75C95E12" w14:textId="77777777" w:rsidR="00441E2F" w:rsidRPr="00FB4890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 xml:space="preserve">В целях мониторинга выполнения настоящей Программы государственными органами государств-членов, уполномоченными на регулирование в сфере </w:t>
      </w:r>
      <w:r w:rsidRPr="00FB4890">
        <w:rPr>
          <w:rFonts w:ascii="Sylfaen" w:hAnsi="Sylfaen"/>
          <w:sz w:val="24"/>
          <w:szCs w:val="24"/>
        </w:rPr>
        <w:lastRenderedPageBreak/>
        <w:t>электроэнергетики, не реже 1 раза в год совместно рассматривается ход выполнения настоящей Программы.</w:t>
      </w:r>
    </w:p>
    <w:p w14:paraId="492AC6AF" w14:textId="77777777" w:rsidR="00441E2F" w:rsidRDefault="00A31C73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Коллегия Комиссии не реже 1 раза в год представляет доклад о ходе выполнения настоящей Программы на рассмотрение Совета Комиссии.</w:t>
      </w:r>
    </w:p>
    <w:p w14:paraId="09150204" w14:textId="77777777" w:rsidR="0038349C" w:rsidRDefault="0038349C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</w:pPr>
    </w:p>
    <w:p w14:paraId="05FB1026" w14:textId="77777777" w:rsidR="0038349C" w:rsidRPr="00FB4890" w:rsidRDefault="0038349C" w:rsidP="0038349C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Sylfaen" w:hAnsi="Sylfaen"/>
          <w:sz w:val="24"/>
          <w:szCs w:val="24"/>
        </w:rPr>
        <w:sectPr w:rsidR="0038349C" w:rsidRPr="00FB4890" w:rsidSect="00FB4890">
          <w:type w:val="nextColumn"/>
          <w:pgSz w:w="11907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0BA73A3B" w14:textId="77777777" w:rsidR="00441E2F" w:rsidRPr="00FB4890" w:rsidRDefault="00A31C73" w:rsidP="006567B3">
      <w:pPr>
        <w:pStyle w:val="Bodytext20"/>
        <w:shd w:val="clear" w:color="auto" w:fill="auto"/>
        <w:spacing w:before="0" w:after="120" w:line="240" w:lineRule="auto"/>
        <w:ind w:left="9498" w:right="140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lastRenderedPageBreak/>
        <w:t>ПРИЛОЖЕНИЕ</w:t>
      </w:r>
    </w:p>
    <w:p w14:paraId="2971944B" w14:textId="77777777" w:rsidR="00441E2F" w:rsidRPr="00FB4890" w:rsidRDefault="00A31C73" w:rsidP="006567B3">
      <w:pPr>
        <w:pStyle w:val="Bodytext20"/>
        <w:shd w:val="clear" w:color="auto" w:fill="auto"/>
        <w:spacing w:before="0" w:after="120" w:line="240" w:lineRule="auto"/>
        <w:ind w:left="9498" w:right="140" w:firstLine="0"/>
        <w:jc w:val="center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к Программе формирования общего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электроэнергетического рынка</w:t>
      </w:r>
      <w:r w:rsidR="00FB4890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Евразийского экономического союза</w:t>
      </w:r>
    </w:p>
    <w:p w14:paraId="0552D731" w14:textId="77777777" w:rsidR="006567B3" w:rsidRDefault="006567B3" w:rsidP="00FB4890">
      <w:pPr>
        <w:pStyle w:val="Bodytext40"/>
        <w:shd w:val="clear" w:color="auto" w:fill="auto"/>
        <w:spacing w:before="0" w:after="120" w:line="240" w:lineRule="auto"/>
        <w:ind w:right="40"/>
        <w:jc w:val="both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14:paraId="56163363" w14:textId="77777777" w:rsidR="00441E2F" w:rsidRPr="00FB4890" w:rsidRDefault="00A31C73" w:rsidP="006567B3">
      <w:pPr>
        <w:pStyle w:val="Bodytext40"/>
        <w:shd w:val="clear" w:color="auto" w:fill="auto"/>
        <w:spacing w:before="0" w:after="120" w:line="240" w:lineRule="auto"/>
        <w:ind w:right="40"/>
        <w:rPr>
          <w:rFonts w:ascii="Sylfaen" w:hAnsi="Sylfaen"/>
          <w:sz w:val="24"/>
          <w:szCs w:val="24"/>
        </w:rPr>
      </w:pPr>
      <w:r w:rsidRPr="00FB4890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ПЛАН</w:t>
      </w:r>
    </w:p>
    <w:p w14:paraId="2CBE4CD6" w14:textId="77777777" w:rsidR="00441E2F" w:rsidRPr="00FB4890" w:rsidRDefault="00A31C73" w:rsidP="006567B3">
      <w:pPr>
        <w:pStyle w:val="Bodytext40"/>
        <w:shd w:val="clear" w:color="auto" w:fill="auto"/>
        <w:spacing w:before="0" w:after="120" w:line="240" w:lineRule="auto"/>
        <w:ind w:right="40"/>
        <w:rPr>
          <w:rFonts w:ascii="Sylfaen" w:hAnsi="Sylfaen"/>
          <w:sz w:val="24"/>
          <w:szCs w:val="24"/>
        </w:rPr>
      </w:pPr>
      <w:r w:rsidRPr="00FB4890">
        <w:rPr>
          <w:rFonts w:ascii="Sylfaen" w:hAnsi="Sylfaen"/>
          <w:sz w:val="24"/>
          <w:szCs w:val="24"/>
        </w:rPr>
        <w:t>мероприятий по формированию общего электроэнергетического рынка</w:t>
      </w:r>
      <w:r w:rsidR="006567B3">
        <w:rPr>
          <w:rFonts w:ascii="Sylfaen" w:hAnsi="Sylfaen"/>
          <w:sz w:val="24"/>
          <w:szCs w:val="24"/>
        </w:rPr>
        <w:t xml:space="preserve"> </w:t>
      </w:r>
      <w:r w:rsidRPr="00FB4890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141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2"/>
        <w:gridCol w:w="2037"/>
        <w:gridCol w:w="2551"/>
        <w:gridCol w:w="2268"/>
        <w:gridCol w:w="2835"/>
      </w:tblGrid>
      <w:tr w:rsidR="006567B3" w:rsidRPr="00FB4890" w14:paraId="6E58236C" w14:textId="77777777" w:rsidTr="00944A33">
        <w:trPr>
          <w:tblHeader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6687D" w14:textId="77777777" w:rsidR="006567B3" w:rsidRPr="00FB4890" w:rsidRDefault="006567B3" w:rsidP="006567B3">
            <w:pPr>
              <w:pStyle w:val="Bodytext20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34678" w14:textId="77777777" w:rsidR="006567B3" w:rsidRPr="00FB4890" w:rsidRDefault="006567B3" w:rsidP="006567B3">
            <w:pPr>
              <w:pStyle w:val="Bodytext20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Срок реализации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3593C" w14:textId="77777777" w:rsidR="006567B3" w:rsidRPr="00FB4890" w:rsidRDefault="006567B3" w:rsidP="006567B3">
            <w:pPr>
              <w:pStyle w:val="Bodytext20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34583" w14:textId="77777777" w:rsidR="006567B3" w:rsidRPr="00FB4890" w:rsidRDefault="006567B3" w:rsidP="006567B3">
            <w:pPr>
              <w:pStyle w:val="Bodytext20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Источник</w:t>
            </w:r>
            <w: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E9007" w14:textId="77777777" w:rsidR="006567B3" w:rsidRPr="00FB4890" w:rsidRDefault="006567B3" w:rsidP="006567B3">
            <w:pPr>
              <w:pStyle w:val="Bodytext20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Результат</w:t>
            </w:r>
          </w:p>
        </w:tc>
      </w:tr>
      <w:tr w:rsidR="00441E2F" w:rsidRPr="00FB4890" w14:paraId="1AC4F38F" w14:textId="77777777" w:rsidTr="00944A33">
        <w:trPr>
          <w:jc w:val="center"/>
        </w:trPr>
        <w:tc>
          <w:tcPr>
            <w:tcW w:w="1414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653DFFE" w14:textId="77777777" w:rsidR="00441E2F" w:rsidRPr="00FB4890" w:rsidRDefault="00A31C73" w:rsidP="006567B3">
            <w:pPr>
              <w:pStyle w:val="Bodytext20"/>
              <w:shd w:val="clear" w:color="auto" w:fill="auto"/>
              <w:spacing w:before="0" w:after="120" w:line="240" w:lineRule="auto"/>
              <w:ind w:left="73" w:right="4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I. Формирование системы актов, регулирующих общий электроэнергетический рынок</w:t>
            </w:r>
            <w:r w:rsidR="006567B3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Евразийского экономического союза</w:t>
            </w:r>
          </w:p>
        </w:tc>
      </w:tr>
      <w:tr w:rsidR="006567B3" w:rsidRPr="00FB4890" w14:paraId="5AA8E81B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10C07817" w14:textId="77777777" w:rsidR="006567B3" w:rsidRPr="00FB4890" w:rsidRDefault="006567B3" w:rsidP="006567B3">
            <w:pPr>
              <w:pStyle w:val="Bodytext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1. Разработка проекта международного договора о формировании общего</w:t>
            </w:r>
            <w: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электроэнергетического рынка</w:t>
            </w:r>
            <w: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Евразийского экономического союза (далее соответственно -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международный договор, Союз), содержащего в том числе</w:t>
            </w:r>
            <w: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единые правила доступа к услугам</w:t>
            </w:r>
            <w: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субъектов естественных монополий в</w:t>
            </w:r>
            <w: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сфере электроэнергетики, включая:</w:t>
            </w:r>
          </w:p>
        </w:tc>
        <w:tc>
          <w:tcPr>
            <w:tcW w:w="2037" w:type="dxa"/>
            <w:shd w:val="clear" w:color="auto" w:fill="FFFFFF"/>
          </w:tcPr>
          <w:p w14:paraId="42CBB43E" w14:textId="77777777" w:rsidR="006567B3" w:rsidRPr="00FB4890" w:rsidRDefault="006567B3" w:rsidP="006567B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1 июля 2018 г.</w:t>
            </w:r>
          </w:p>
        </w:tc>
        <w:tc>
          <w:tcPr>
            <w:tcW w:w="7654" w:type="dxa"/>
            <w:gridSpan w:val="3"/>
            <w:shd w:val="clear" w:color="auto" w:fill="FFFFFF"/>
            <w:vAlign w:val="bottom"/>
          </w:tcPr>
          <w:p w14:paraId="1BCE769B" w14:textId="77777777" w:rsidR="006567B3" w:rsidRPr="00FB4890" w:rsidRDefault="006567B3" w:rsidP="006567B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rPr>
                <w:rStyle w:val="Bodytext21"/>
                <w:rFonts w:ascii="Sylfaen" w:hAnsi="Sylfaen"/>
                <w:sz w:val="24"/>
                <w:szCs w:val="24"/>
              </w:rPr>
            </w:pPr>
          </w:p>
        </w:tc>
      </w:tr>
      <w:tr w:rsidR="00944A33" w:rsidRPr="00FB4890" w14:paraId="507FCD0A" w14:textId="77777777" w:rsidTr="0082056D">
        <w:trPr>
          <w:jc w:val="center"/>
        </w:trPr>
        <w:tc>
          <w:tcPr>
            <w:tcW w:w="4452" w:type="dxa"/>
            <w:shd w:val="clear" w:color="auto" w:fill="FFFFFF"/>
          </w:tcPr>
          <w:p w14:paraId="1CDD3ECF" w14:textId="77777777" w:rsidR="00944A33" w:rsidRPr="00FB4890" w:rsidRDefault="00944A33" w:rsidP="006567B3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проект международного договора</w:t>
            </w:r>
          </w:p>
        </w:tc>
        <w:tc>
          <w:tcPr>
            <w:tcW w:w="2037" w:type="dxa"/>
            <w:shd w:val="clear" w:color="auto" w:fill="FFFFFF"/>
          </w:tcPr>
          <w:p w14:paraId="6EBF4D5C" w14:textId="77777777" w:rsidR="00944A33" w:rsidRPr="00FB4890" w:rsidRDefault="00944A33" w:rsidP="006567B3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C07AB2C" w14:textId="77777777" w:rsidR="00944A33" w:rsidRPr="00FB4890" w:rsidRDefault="00944A33" w:rsidP="006567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государства -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члены Союза (далее -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государства- члены), Евразийская экономическая комиссия (далее -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Комиссия)</w:t>
            </w:r>
          </w:p>
        </w:tc>
        <w:tc>
          <w:tcPr>
            <w:tcW w:w="2268" w:type="dxa"/>
            <w:shd w:val="clear" w:color="auto" w:fill="FFFFFF"/>
          </w:tcPr>
          <w:p w14:paraId="0D3E8E6E" w14:textId="77777777" w:rsidR="00944A33" w:rsidRPr="00FB4890" w:rsidRDefault="00944A3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бюджеты государств-членов (средства на обеспечение деятельности уполномоченных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органов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государственной власти), бюджет Союза (средства бюджетной сметы Комиссии)</w:t>
            </w:r>
          </w:p>
        </w:tc>
        <w:tc>
          <w:tcPr>
            <w:tcW w:w="2835" w:type="dxa"/>
            <w:shd w:val="clear" w:color="auto" w:fill="FFFFFF"/>
          </w:tcPr>
          <w:p w14:paraId="33EAC477" w14:textId="77777777" w:rsidR="00944A33" w:rsidRPr="00FB4890" w:rsidRDefault="00944A3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проект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международного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договора</w:t>
            </w:r>
          </w:p>
        </w:tc>
      </w:tr>
      <w:tr w:rsidR="00944A33" w:rsidRPr="00FB4890" w14:paraId="67542797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51E9E13B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проект 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2037" w:type="dxa"/>
            <w:shd w:val="clear" w:color="auto" w:fill="FFFFFF"/>
          </w:tcPr>
          <w:p w14:paraId="14728428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08449F58" w14:textId="77777777" w:rsidR="00944A33" w:rsidRPr="00FB4890" w:rsidRDefault="00944A3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государства-члены,</w:t>
            </w:r>
            <w:r w:rsidR="00B4588B" w:rsidRPr="00FB489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  <w:shd w:val="clear" w:color="auto" w:fill="FFFFFF"/>
          </w:tcPr>
          <w:p w14:paraId="4BA197E8" w14:textId="77777777" w:rsidR="00944A33" w:rsidRPr="00FB4890" w:rsidRDefault="00944A3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бюджеты государств-членов (средства на обеспечение деятельности уполномоченных органов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государственной власти), бюджет Союза (средства бюджетной сметы Комиссии)</w:t>
            </w:r>
          </w:p>
        </w:tc>
        <w:tc>
          <w:tcPr>
            <w:tcW w:w="2835" w:type="dxa"/>
            <w:shd w:val="clear" w:color="auto" w:fill="FFFFFF"/>
          </w:tcPr>
          <w:p w14:paraId="114D8E2E" w14:textId="77777777" w:rsidR="00944A33" w:rsidRPr="00FB4890" w:rsidRDefault="00944A3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проект единых правил доступа к услугам субъектов естественных монополий в сфере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электроэнергетики</w:t>
            </w:r>
          </w:p>
        </w:tc>
      </w:tr>
      <w:tr w:rsidR="006567B3" w:rsidRPr="00FB4890" w14:paraId="18607D7E" w14:textId="77777777" w:rsidTr="0082056D">
        <w:trPr>
          <w:jc w:val="center"/>
        </w:trPr>
        <w:tc>
          <w:tcPr>
            <w:tcW w:w="4452" w:type="dxa"/>
            <w:shd w:val="clear" w:color="auto" w:fill="FFFFFF"/>
          </w:tcPr>
          <w:p w14:paraId="227FC47E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2. Разработка свода правил общего электроэнергетического рынка Союза, в том числе:</w:t>
            </w:r>
          </w:p>
        </w:tc>
        <w:tc>
          <w:tcPr>
            <w:tcW w:w="2037" w:type="dxa"/>
            <w:shd w:val="clear" w:color="auto" w:fill="FFFFFF"/>
          </w:tcPr>
          <w:p w14:paraId="1AA1DA30" w14:textId="77777777" w:rsidR="00441E2F" w:rsidRPr="00FB4890" w:rsidRDefault="00A31C73" w:rsidP="00FB489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1 июля 2018 г.</w:t>
            </w:r>
          </w:p>
        </w:tc>
        <w:tc>
          <w:tcPr>
            <w:tcW w:w="2551" w:type="dxa"/>
            <w:shd w:val="clear" w:color="auto" w:fill="FFFFFF"/>
          </w:tcPr>
          <w:p w14:paraId="4E3C10B2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268" w:type="dxa"/>
            <w:shd w:val="clear" w:color="auto" w:fill="FFFFFF"/>
          </w:tcPr>
          <w:p w14:paraId="71594B69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835" w:type="dxa"/>
            <w:shd w:val="clear" w:color="auto" w:fill="FFFFFF"/>
          </w:tcPr>
          <w:p w14:paraId="09AEF7AE" w14:textId="77777777" w:rsidR="00441E2F" w:rsidRPr="00FB4890" w:rsidRDefault="00441E2F" w:rsidP="00FB4890">
            <w:pPr>
              <w:spacing w:after="120"/>
              <w:jc w:val="both"/>
            </w:pPr>
          </w:p>
        </w:tc>
      </w:tr>
      <w:tr w:rsidR="006567B3" w:rsidRPr="00FB4890" w14:paraId="3E780CE4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48BB15DA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проекта правил взаимной торговли электрической энергией на общем электроэнергетическом рынке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Союза</w:t>
            </w:r>
          </w:p>
        </w:tc>
        <w:tc>
          <w:tcPr>
            <w:tcW w:w="2037" w:type="dxa"/>
            <w:shd w:val="clear" w:color="auto" w:fill="FFFFFF"/>
          </w:tcPr>
          <w:p w14:paraId="4C42262F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551" w:type="dxa"/>
            <w:shd w:val="clear" w:color="auto" w:fill="FFFFFF"/>
          </w:tcPr>
          <w:p w14:paraId="20BFB8AF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Комиссия,</w:t>
            </w:r>
            <w:r w:rsidR="00B4588B"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</w:t>
            </w:r>
          </w:p>
          <w:p w14:paraId="761CE2B8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2268" w:type="dxa"/>
            <w:shd w:val="clear" w:color="auto" w:fill="FFFFFF"/>
          </w:tcPr>
          <w:p w14:paraId="4D32A22E" w14:textId="77777777" w:rsidR="00441E2F" w:rsidRPr="00FB4890" w:rsidRDefault="00A31C7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бюджет Союза (средства бюджетной сметы Комиссии),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бюджеты государств-членов (средства на обеспечение деятельности уполномоченных органов</w:t>
            </w:r>
            <w:r w:rsidR="00B4588B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государственной</w:t>
            </w:r>
            <w:r w:rsidR="00B4588B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власти)</w:t>
            </w:r>
          </w:p>
        </w:tc>
        <w:tc>
          <w:tcPr>
            <w:tcW w:w="2835" w:type="dxa"/>
            <w:shd w:val="clear" w:color="auto" w:fill="FFFFFF"/>
          </w:tcPr>
          <w:p w14:paraId="2A84A9EF" w14:textId="77777777" w:rsidR="00441E2F" w:rsidRPr="00FB4890" w:rsidRDefault="00A31C7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проект правил взаимной торговли электрической энергией на общем</w:t>
            </w:r>
            <w:r w:rsidR="00B4588B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электроэнергети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softHyphen/>
              <w:t xml:space="preserve">ческом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рынке Союза</w:t>
            </w:r>
          </w:p>
        </w:tc>
      </w:tr>
      <w:tr w:rsidR="00944A33" w:rsidRPr="00FB4890" w14:paraId="3C5AEE32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1E936338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проекта правил определения и распределения пропускной способности межгосударственных линий электропередачи</w:t>
            </w:r>
          </w:p>
        </w:tc>
        <w:tc>
          <w:tcPr>
            <w:tcW w:w="2037" w:type="dxa"/>
            <w:shd w:val="clear" w:color="auto" w:fill="FFFFFF"/>
          </w:tcPr>
          <w:p w14:paraId="17520D66" w14:textId="77777777" w:rsidR="00944A33" w:rsidRPr="00FB4890" w:rsidRDefault="00944A33" w:rsidP="00FB4890">
            <w:pPr>
              <w:spacing w:after="120"/>
              <w:jc w:val="both"/>
            </w:pPr>
          </w:p>
        </w:tc>
        <w:tc>
          <w:tcPr>
            <w:tcW w:w="2551" w:type="dxa"/>
            <w:shd w:val="clear" w:color="auto" w:fill="FFFFFF"/>
          </w:tcPr>
          <w:p w14:paraId="41D8C26B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Комиссия,</w:t>
            </w:r>
            <w:r w:rsidR="00B4588B"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</w:t>
            </w:r>
          </w:p>
          <w:p w14:paraId="33A75DD6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6C7A1DA" w14:textId="77777777" w:rsidR="00944A33" w:rsidRPr="00FB4890" w:rsidRDefault="00944A3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бюджет Союза (средства бюджетной сметы Комиссии), бюджеты государств-членов (средства на обеспечение деятельности уполномоченных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органов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государственной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власти)</w:t>
            </w:r>
          </w:p>
        </w:tc>
        <w:tc>
          <w:tcPr>
            <w:tcW w:w="2835" w:type="dxa"/>
            <w:shd w:val="clear" w:color="auto" w:fill="FFFFFF"/>
          </w:tcPr>
          <w:p w14:paraId="2398EA22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проект правил определения и распределения пропускной способности межгосударствен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softHyphen/>
              <w:t>ных линий электропередачи</w:t>
            </w:r>
          </w:p>
        </w:tc>
      </w:tr>
      <w:tr w:rsidR="00944A33" w:rsidRPr="00FB4890" w14:paraId="533D19DA" w14:textId="77777777" w:rsidTr="00944A33">
        <w:trPr>
          <w:jc w:val="center"/>
        </w:trPr>
        <w:tc>
          <w:tcPr>
            <w:tcW w:w="6489" w:type="dxa"/>
            <w:gridSpan w:val="2"/>
            <w:shd w:val="clear" w:color="auto" w:fill="FFFFFF"/>
          </w:tcPr>
          <w:p w14:paraId="0770D7D3" w14:textId="77777777" w:rsidR="00944A33" w:rsidRPr="00FB4890" w:rsidRDefault="00944A33" w:rsidP="00FB4890">
            <w:pPr>
              <w:spacing w:after="120"/>
              <w:jc w:val="both"/>
            </w:pPr>
          </w:p>
        </w:tc>
        <w:tc>
          <w:tcPr>
            <w:tcW w:w="2551" w:type="dxa"/>
            <w:shd w:val="clear" w:color="auto" w:fill="FFFFFF"/>
          </w:tcPr>
          <w:p w14:paraId="0F145D19" w14:textId="77777777" w:rsidR="00944A33" w:rsidRPr="00FB4890" w:rsidRDefault="00944A33" w:rsidP="00FB4890">
            <w:pPr>
              <w:spacing w:after="120"/>
              <w:jc w:val="both"/>
            </w:pPr>
          </w:p>
        </w:tc>
        <w:tc>
          <w:tcPr>
            <w:tcW w:w="2268" w:type="dxa"/>
            <w:vMerge/>
            <w:shd w:val="clear" w:color="auto" w:fill="FFFFFF"/>
            <w:vAlign w:val="bottom"/>
          </w:tcPr>
          <w:p w14:paraId="1B443857" w14:textId="77777777" w:rsidR="00944A33" w:rsidRPr="00FB4890" w:rsidRDefault="00944A33" w:rsidP="00FB489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2332142F" w14:textId="77777777" w:rsidR="00944A33" w:rsidRPr="00FB4890" w:rsidRDefault="00944A33" w:rsidP="00FB4890">
            <w:pPr>
              <w:spacing w:after="120"/>
              <w:jc w:val="both"/>
            </w:pPr>
          </w:p>
        </w:tc>
      </w:tr>
      <w:tr w:rsidR="006567B3" w:rsidRPr="00FB4890" w14:paraId="14514821" w14:textId="77777777" w:rsidTr="00944A33">
        <w:trPr>
          <w:jc w:val="center"/>
        </w:trPr>
        <w:tc>
          <w:tcPr>
            <w:tcW w:w="6489" w:type="dxa"/>
            <w:gridSpan w:val="2"/>
            <w:shd w:val="clear" w:color="auto" w:fill="FFFFFF"/>
          </w:tcPr>
          <w:p w14:paraId="6A15A4AC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проекта положения о развитии межгосударственных электрических сетей</w:t>
            </w:r>
          </w:p>
        </w:tc>
        <w:tc>
          <w:tcPr>
            <w:tcW w:w="2551" w:type="dxa"/>
            <w:shd w:val="clear" w:color="auto" w:fill="FFFFFF"/>
          </w:tcPr>
          <w:p w14:paraId="5B5B4A93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B4588B" w:rsidRPr="00FB489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</w:p>
          <w:p w14:paraId="5848DF6A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2268" w:type="dxa"/>
            <w:shd w:val="clear" w:color="auto" w:fill="FFFFFF"/>
            <w:vAlign w:val="bottom"/>
          </w:tcPr>
          <w:p w14:paraId="7EAFC291" w14:textId="77777777" w:rsidR="00441E2F" w:rsidRPr="00FB4890" w:rsidRDefault="00A31C7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 xml:space="preserve">бюджет Союза (средства бюджетной сметы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Комиссии), бюджеты государств-членов (средства на обеспечение деятельности уполномоченных органов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государственной</w:t>
            </w:r>
            <w:r w:rsidR="00B4588B"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власти)</w:t>
            </w:r>
          </w:p>
        </w:tc>
        <w:tc>
          <w:tcPr>
            <w:tcW w:w="2835" w:type="dxa"/>
            <w:shd w:val="clear" w:color="auto" w:fill="FFFFFF"/>
          </w:tcPr>
          <w:p w14:paraId="37C82572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проект положе</w:t>
            </w:r>
            <w:r w:rsidR="00944A33">
              <w:rPr>
                <w:rStyle w:val="Bodytext21"/>
                <w:rFonts w:ascii="Sylfaen" w:hAnsi="Sylfaen"/>
                <w:sz w:val="24"/>
                <w:szCs w:val="24"/>
              </w:rPr>
              <w:t>ния о развитии межгосударственн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 xml:space="preserve">ых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электрических сетей</w:t>
            </w:r>
          </w:p>
        </w:tc>
      </w:tr>
      <w:tr w:rsidR="00944A33" w:rsidRPr="00FB4890" w14:paraId="43A58CDC" w14:textId="77777777" w:rsidTr="00944A33">
        <w:trPr>
          <w:jc w:val="center"/>
        </w:trPr>
        <w:tc>
          <w:tcPr>
            <w:tcW w:w="6489" w:type="dxa"/>
            <w:gridSpan w:val="2"/>
            <w:shd w:val="clear" w:color="auto" w:fill="FFFFFF"/>
          </w:tcPr>
          <w:p w14:paraId="0D48D8EE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проекта правил информационного обмена</w:t>
            </w:r>
          </w:p>
        </w:tc>
        <w:tc>
          <w:tcPr>
            <w:tcW w:w="2551" w:type="dxa"/>
            <w:shd w:val="clear" w:color="auto" w:fill="FFFFFF"/>
          </w:tcPr>
          <w:p w14:paraId="3EB6EC1E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B4588B" w:rsidRPr="00FB489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</w:p>
          <w:p w14:paraId="0A8D0395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2268" w:type="dxa"/>
            <w:vMerge w:val="restart"/>
            <w:shd w:val="clear" w:color="auto" w:fill="FFFFFF"/>
            <w:vAlign w:val="bottom"/>
          </w:tcPr>
          <w:p w14:paraId="5ECF25F2" w14:textId="77777777" w:rsidR="00944A33" w:rsidRPr="00FB4890" w:rsidRDefault="00944A3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бюджет Союза (средства бюджетной сметы Комиссии), бюджеты государств-членов (средства на обеспечение деятельности уполномоченных</w:t>
            </w:r>
            <w:r w:rsidR="00B458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органов</w:t>
            </w:r>
            <w:r w:rsidR="00B4588B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государственной</w:t>
            </w:r>
            <w:r w:rsidR="00B4588B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власти)</w:t>
            </w:r>
          </w:p>
        </w:tc>
        <w:tc>
          <w:tcPr>
            <w:tcW w:w="2835" w:type="dxa"/>
            <w:shd w:val="clear" w:color="auto" w:fill="FFFFFF"/>
          </w:tcPr>
          <w:p w14:paraId="4BEFA54E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"/>
                <w:rFonts w:ascii="Sylfaen" w:hAnsi="Sylfaen"/>
                <w:sz w:val="24"/>
                <w:szCs w:val="24"/>
              </w:rPr>
              <w:t>проект правил информационного обмена</w:t>
            </w:r>
          </w:p>
        </w:tc>
      </w:tr>
      <w:tr w:rsidR="00944A33" w:rsidRPr="00FB4890" w14:paraId="3F638485" w14:textId="77777777" w:rsidTr="000C0C58">
        <w:trPr>
          <w:jc w:val="center"/>
        </w:trPr>
        <w:tc>
          <w:tcPr>
            <w:tcW w:w="9040" w:type="dxa"/>
            <w:gridSpan w:val="3"/>
            <w:shd w:val="clear" w:color="auto" w:fill="FFFFFF"/>
          </w:tcPr>
          <w:p w14:paraId="4119A080" w14:textId="77777777" w:rsidR="00944A33" w:rsidRPr="00FB4890" w:rsidRDefault="00944A33" w:rsidP="00FB4890">
            <w:pPr>
              <w:spacing w:after="120"/>
              <w:jc w:val="both"/>
            </w:pPr>
          </w:p>
        </w:tc>
        <w:tc>
          <w:tcPr>
            <w:tcW w:w="2268" w:type="dxa"/>
            <w:vMerge/>
            <w:shd w:val="clear" w:color="auto" w:fill="FFFFFF"/>
          </w:tcPr>
          <w:p w14:paraId="0F2F1A68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1D14BB56" w14:textId="77777777" w:rsidR="00944A33" w:rsidRPr="00FB4890" w:rsidRDefault="00944A33" w:rsidP="00FB4890">
            <w:pPr>
              <w:spacing w:after="120"/>
              <w:jc w:val="both"/>
            </w:pPr>
          </w:p>
        </w:tc>
      </w:tr>
      <w:tr w:rsidR="006567B3" w:rsidRPr="00FB4890" w14:paraId="207F749E" w14:textId="77777777" w:rsidTr="00944A33">
        <w:trPr>
          <w:jc w:val="center"/>
        </w:trPr>
        <w:tc>
          <w:tcPr>
            <w:tcW w:w="4452" w:type="dxa"/>
            <w:shd w:val="clear" w:color="auto" w:fill="FFFFFF"/>
            <w:vAlign w:val="center"/>
          </w:tcPr>
          <w:p w14:paraId="67DFB795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3. Принятие актов, регулирующих общий электроэнергетический рынок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Союза, в том числе:</w:t>
            </w:r>
          </w:p>
        </w:tc>
        <w:tc>
          <w:tcPr>
            <w:tcW w:w="2037" w:type="dxa"/>
            <w:shd w:val="clear" w:color="auto" w:fill="FFFFFF"/>
          </w:tcPr>
          <w:p w14:paraId="0C92C418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551" w:type="dxa"/>
            <w:shd w:val="clear" w:color="auto" w:fill="FFFFFF"/>
          </w:tcPr>
          <w:p w14:paraId="757994F2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268" w:type="dxa"/>
            <w:shd w:val="clear" w:color="auto" w:fill="FFFFFF"/>
          </w:tcPr>
          <w:p w14:paraId="54540C03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835" w:type="dxa"/>
            <w:shd w:val="clear" w:color="auto" w:fill="FFFFFF"/>
          </w:tcPr>
          <w:p w14:paraId="375DB1EC" w14:textId="77777777" w:rsidR="00441E2F" w:rsidRPr="00FB4890" w:rsidRDefault="00441E2F" w:rsidP="00FB4890">
            <w:pPr>
              <w:spacing w:after="120"/>
              <w:jc w:val="both"/>
            </w:pPr>
          </w:p>
        </w:tc>
      </w:tr>
      <w:tr w:rsidR="006567B3" w:rsidRPr="00FB4890" w14:paraId="1019A0B5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54A9889F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международного договора</w:t>
            </w:r>
          </w:p>
        </w:tc>
        <w:tc>
          <w:tcPr>
            <w:tcW w:w="2037" w:type="dxa"/>
            <w:shd w:val="clear" w:color="auto" w:fill="FFFFFF"/>
          </w:tcPr>
          <w:p w14:paraId="06EB1096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1 июля 2019 г.</w:t>
            </w:r>
          </w:p>
        </w:tc>
        <w:tc>
          <w:tcPr>
            <w:tcW w:w="2551" w:type="dxa"/>
            <w:shd w:val="clear" w:color="auto" w:fill="FFFFFF"/>
          </w:tcPr>
          <w:p w14:paraId="02E7EF49" w14:textId="77777777" w:rsidR="00441E2F" w:rsidRPr="00FB4890" w:rsidRDefault="00A31C7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государства-члены,</w:t>
            </w:r>
            <w:r w:rsidR="00B4588B"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  <w:shd w:val="clear" w:color="auto" w:fill="FFFFFF"/>
          </w:tcPr>
          <w:p w14:paraId="16D37E1E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835" w:type="dxa"/>
            <w:shd w:val="clear" w:color="auto" w:fill="FFFFFF"/>
          </w:tcPr>
          <w:p w14:paraId="4A99FA06" w14:textId="77777777" w:rsidR="00441E2F" w:rsidRPr="00FB4890" w:rsidRDefault="00A31C73" w:rsidP="00B4588B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международный</w:t>
            </w:r>
            <w:r w:rsidR="00B4588B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договор</w:t>
            </w:r>
          </w:p>
        </w:tc>
      </w:tr>
      <w:tr w:rsidR="006567B3" w:rsidRPr="00FB4890" w14:paraId="19727903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42370224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2037" w:type="dxa"/>
            <w:shd w:val="clear" w:color="auto" w:fill="FFFFFF"/>
          </w:tcPr>
          <w:p w14:paraId="5359F65E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1 июля 2019 г.</w:t>
            </w:r>
          </w:p>
        </w:tc>
        <w:tc>
          <w:tcPr>
            <w:tcW w:w="2551" w:type="dxa"/>
            <w:shd w:val="clear" w:color="auto" w:fill="FFFFFF"/>
          </w:tcPr>
          <w:p w14:paraId="3D4D6571" w14:textId="77777777" w:rsidR="00441E2F" w:rsidRPr="00FB4890" w:rsidRDefault="00A31C73" w:rsidP="00B4588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государства-члены,</w:t>
            </w:r>
            <w:r w:rsidR="00B4588B"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  <w:shd w:val="clear" w:color="auto" w:fill="FFFFFF"/>
          </w:tcPr>
          <w:p w14:paraId="5D396C1A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835" w:type="dxa"/>
            <w:shd w:val="clear" w:color="auto" w:fill="FFFFFF"/>
          </w:tcPr>
          <w:p w14:paraId="7EF5094B" w14:textId="77777777" w:rsidR="00441E2F" w:rsidRPr="00FB4890" w:rsidRDefault="00A31C73" w:rsidP="00B4588B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международный</w:t>
            </w:r>
            <w:r w:rsidR="00B4588B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договор</w:t>
            </w:r>
          </w:p>
        </w:tc>
      </w:tr>
      <w:tr w:rsidR="006567B3" w:rsidRPr="00FB4890" w14:paraId="4FEDFBEA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579917D1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свода правил общего электроэнергетического рынка</w:t>
            </w:r>
          </w:p>
        </w:tc>
        <w:tc>
          <w:tcPr>
            <w:tcW w:w="2037" w:type="dxa"/>
            <w:shd w:val="clear" w:color="auto" w:fill="FFFFFF"/>
          </w:tcPr>
          <w:p w14:paraId="2733A1D1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в соответствии с международ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softHyphen/>
              <w:t>ным договором</w:t>
            </w:r>
          </w:p>
        </w:tc>
        <w:tc>
          <w:tcPr>
            <w:tcW w:w="2551" w:type="dxa"/>
            <w:shd w:val="clear" w:color="auto" w:fill="FFFFFF"/>
          </w:tcPr>
          <w:p w14:paraId="02D39031" w14:textId="77777777" w:rsidR="00441E2F" w:rsidRPr="00FB4890" w:rsidRDefault="00A31C7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государства-члены,</w:t>
            </w:r>
            <w:r w:rsidR="00764E4E"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  <w:shd w:val="clear" w:color="auto" w:fill="FFFFFF"/>
          </w:tcPr>
          <w:p w14:paraId="094F634C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835" w:type="dxa"/>
            <w:shd w:val="clear" w:color="auto" w:fill="FFFFFF"/>
          </w:tcPr>
          <w:p w14:paraId="45A116A1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в соответствии с международным договором</w:t>
            </w:r>
          </w:p>
        </w:tc>
      </w:tr>
      <w:tr w:rsidR="00441E2F" w:rsidRPr="00FB4890" w14:paraId="52188464" w14:textId="77777777" w:rsidTr="00944A33">
        <w:trPr>
          <w:jc w:val="center"/>
        </w:trPr>
        <w:tc>
          <w:tcPr>
            <w:tcW w:w="14143" w:type="dxa"/>
            <w:gridSpan w:val="5"/>
            <w:shd w:val="clear" w:color="auto" w:fill="FFFFFF"/>
          </w:tcPr>
          <w:p w14:paraId="77E61DF7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II. Подготовка к организации взаимной торговли электрической энергией между участниками общего электроэнергетического рынка Союза на централизованных торгах на сутки вперед</w:t>
            </w:r>
          </w:p>
        </w:tc>
      </w:tr>
      <w:tr w:rsidR="00944A33" w:rsidRPr="00FB4890" w14:paraId="529810B6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119BCD51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1. Подготовка предложений по организации взаимной торговли электрической энергией между участниками общего электроэнергетического рынка Союза на централизованных торгах на сутки вперед в части, касающейся:</w:t>
            </w:r>
          </w:p>
        </w:tc>
        <w:tc>
          <w:tcPr>
            <w:tcW w:w="2037" w:type="dxa"/>
            <w:shd w:val="clear" w:color="auto" w:fill="FFFFFF"/>
          </w:tcPr>
          <w:p w14:paraId="21205FDD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до 1 апреля 2017 г.</w:t>
            </w:r>
          </w:p>
        </w:tc>
        <w:tc>
          <w:tcPr>
            <w:tcW w:w="2551" w:type="dxa"/>
            <w:shd w:val="clear" w:color="auto" w:fill="FFFFFF"/>
          </w:tcPr>
          <w:p w14:paraId="720A670A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Комиссия,</w:t>
            </w:r>
            <w:r w:rsidR="00764E4E"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</w:t>
            </w:r>
          </w:p>
          <w:p w14:paraId="141FEEF6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81EFE74" w14:textId="77777777" w:rsidR="00944A33" w:rsidRPr="00FB4890" w:rsidRDefault="00944A3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бюджет Союза (средства бюджетной сметы Комиссии), бюджеты государств-членов</w:t>
            </w:r>
            <w:r w:rsidR="00764E4E"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(средства на обеспечение деятельности уполномоченных органов</w:t>
            </w:r>
            <w:r w:rsidR="00764E4E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государственной</w:t>
            </w:r>
            <w:r w:rsidR="00764E4E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власти)</w:t>
            </w:r>
          </w:p>
        </w:tc>
        <w:tc>
          <w:tcPr>
            <w:tcW w:w="2835" w:type="dxa"/>
            <w:shd w:val="clear" w:color="auto" w:fill="FFFFFF"/>
          </w:tcPr>
          <w:p w14:paraId="48146CA0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предложения по организации централизованной торговли на сутки вперед</w:t>
            </w:r>
          </w:p>
        </w:tc>
      </w:tr>
      <w:tr w:rsidR="00944A33" w:rsidRPr="00FB4890" w14:paraId="0D0C174F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2EC6071C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общих подходов к модели централизованной торговли на сутки вперед</w:t>
            </w:r>
          </w:p>
          <w:p w14:paraId="7E0B93B6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механизма и порядка проведения централизованных торгов на сутки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вперед и определения цены на электрическую энергию</w:t>
            </w:r>
          </w:p>
        </w:tc>
        <w:tc>
          <w:tcPr>
            <w:tcW w:w="2037" w:type="dxa"/>
            <w:shd w:val="clear" w:color="auto" w:fill="FFFFFF"/>
          </w:tcPr>
          <w:p w14:paraId="1D2EA574" w14:textId="77777777" w:rsidR="00944A33" w:rsidRPr="00FB4890" w:rsidRDefault="00944A33" w:rsidP="00FB4890">
            <w:pPr>
              <w:spacing w:after="120"/>
              <w:jc w:val="both"/>
            </w:pPr>
          </w:p>
        </w:tc>
        <w:tc>
          <w:tcPr>
            <w:tcW w:w="2551" w:type="dxa"/>
            <w:shd w:val="clear" w:color="auto" w:fill="FFFFFF"/>
          </w:tcPr>
          <w:p w14:paraId="218E2231" w14:textId="77777777" w:rsidR="00944A33" w:rsidRPr="00FB4890" w:rsidRDefault="00944A33" w:rsidP="00FB4890">
            <w:pPr>
              <w:spacing w:after="120"/>
              <w:jc w:val="both"/>
            </w:pPr>
          </w:p>
        </w:tc>
        <w:tc>
          <w:tcPr>
            <w:tcW w:w="2268" w:type="dxa"/>
            <w:vMerge/>
            <w:shd w:val="clear" w:color="auto" w:fill="FFFFFF"/>
          </w:tcPr>
          <w:p w14:paraId="64C27D7A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14549CB2" w14:textId="77777777" w:rsidR="00944A33" w:rsidRPr="00FB4890" w:rsidRDefault="00944A33" w:rsidP="00FB4890">
            <w:pPr>
              <w:spacing w:after="120"/>
              <w:jc w:val="both"/>
            </w:pPr>
          </w:p>
        </w:tc>
      </w:tr>
      <w:tr w:rsidR="006567B3" w:rsidRPr="00FB4890" w14:paraId="4BEBB8AA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23E6DF7C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определения порядка использования пропускной способности межгосударственных линий</w:t>
            </w:r>
          </w:p>
        </w:tc>
        <w:tc>
          <w:tcPr>
            <w:tcW w:w="2037" w:type="dxa"/>
            <w:shd w:val="clear" w:color="auto" w:fill="FFFFFF"/>
          </w:tcPr>
          <w:p w14:paraId="6B184AD9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551" w:type="dxa"/>
            <w:shd w:val="clear" w:color="auto" w:fill="FFFFFF"/>
          </w:tcPr>
          <w:p w14:paraId="1DFC4685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268" w:type="dxa"/>
            <w:shd w:val="clear" w:color="auto" w:fill="FFFFFF"/>
          </w:tcPr>
          <w:p w14:paraId="722A0E24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835" w:type="dxa"/>
            <w:shd w:val="clear" w:color="auto" w:fill="FFFFFF"/>
          </w:tcPr>
          <w:p w14:paraId="526D7343" w14:textId="77777777" w:rsidR="00441E2F" w:rsidRPr="00FB4890" w:rsidRDefault="00441E2F" w:rsidP="00FB4890">
            <w:pPr>
              <w:spacing w:after="120"/>
              <w:jc w:val="both"/>
            </w:pPr>
          </w:p>
        </w:tc>
      </w:tr>
      <w:tr w:rsidR="006567B3" w:rsidRPr="00FB4890" w14:paraId="3269492E" w14:textId="77777777" w:rsidTr="0082056D">
        <w:trPr>
          <w:jc w:val="center"/>
        </w:trPr>
        <w:tc>
          <w:tcPr>
            <w:tcW w:w="4452" w:type="dxa"/>
            <w:shd w:val="clear" w:color="auto" w:fill="FFFFFF"/>
          </w:tcPr>
          <w:p w14:paraId="2D183E1B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электропередачи участниками двусторонней и централизованной торговли электрической энергией, включая централизованную торговлю на сутки вперед</w:t>
            </w:r>
          </w:p>
        </w:tc>
        <w:tc>
          <w:tcPr>
            <w:tcW w:w="2037" w:type="dxa"/>
            <w:shd w:val="clear" w:color="auto" w:fill="FFFFFF"/>
          </w:tcPr>
          <w:p w14:paraId="16135E50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551" w:type="dxa"/>
            <w:shd w:val="clear" w:color="auto" w:fill="FFFFFF"/>
          </w:tcPr>
          <w:p w14:paraId="0015E800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268" w:type="dxa"/>
            <w:shd w:val="clear" w:color="auto" w:fill="FFFFFF"/>
          </w:tcPr>
          <w:p w14:paraId="6371FFAB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835" w:type="dxa"/>
            <w:shd w:val="clear" w:color="auto" w:fill="FFFFFF"/>
          </w:tcPr>
          <w:p w14:paraId="276A41C1" w14:textId="77777777" w:rsidR="00441E2F" w:rsidRPr="00FB4890" w:rsidRDefault="00441E2F" w:rsidP="00FB4890">
            <w:pPr>
              <w:spacing w:after="120"/>
              <w:jc w:val="both"/>
            </w:pPr>
          </w:p>
        </w:tc>
      </w:tr>
      <w:tr w:rsidR="006567B3" w:rsidRPr="00FB4890" w14:paraId="2D65BD17" w14:textId="77777777" w:rsidTr="0082056D">
        <w:trPr>
          <w:jc w:val="center"/>
        </w:trPr>
        <w:tc>
          <w:tcPr>
            <w:tcW w:w="4452" w:type="dxa"/>
            <w:shd w:val="clear" w:color="auto" w:fill="FFFFFF"/>
          </w:tcPr>
          <w:p w14:paraId="0C2928CE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определения возможности использования существующих в государствах-членах площадок для централизованной торговли на сутки вперед и необходимости создания новых площадок</w:t>
            </w:r>
          </w:p>
        </w:tc>
        <w:tc>
          <w:tcPr>
            <w:tcW w:w="2037" w:type="dxa"/>
            <w:shd w:val="clear" w:color="auto" w:fill="FFFFFF"/>
          </w:tcPr>
          <w:p w14:paraId="220F1811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551" w:type="dxa"/>
            <w:shd w:val="clear" w:color="auto" w:fill="FFFFFF"/>
          </w:tcPr>
          <w:p w14:paraId="381B049D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268" w:type="dxa"/>
            <w:shd w:val="clear" w:color="auto" w:fill="FFFFFF"/>
          </w:tcPr>
          <w:p w14:paraId="7F8CDCF6" w14:textId="77777777" w:rsidR="00441E2F" w:rsidRPr="00FB4890" w:rsidRDefault="00441E2F" w:rsidP="00FB4890">
            <w:pPr>
              <w:spacing w:after="120"/>
              <w:jc w:val="both"/>
            </w:pPr>
          </w:p>
        </w:tc>
        <w:tc>
          <w:tcPr>
            <w:tcW w:w="2835" w:type="dxa"/>
            <w:shd w:val="clear" w:color="auto" w:fill="FFFFFF"/>
          </w:tcPr>
          <w:p w14:paraId="5A05D914" w14:textId="77777777" w:rsidR="00441E2F" w:rsidRPr="00FB4890" w:rsidRDefault="00441E2F" w:rsidP="00FB4890">
            <w:pPr>
              <w:spacing w:after="120"/>
              <w:jc w:val="both"/>
            </w:pPr>
          </w:p>
        </w:tc>
      </w:tr>
      <w:tr w:rsidR="00441E2F" w:rsidRPr="00FB4890" w14:paraId="205BE935" w14:textId="77777777" w:rsidTr="0082056D">
        <w:trPr>
          <w:jc w:val="center"/>
        </w:trPr>
        <w:tc>
          <w:tcPr>
            <w:tcW w:w="14143" w:type="dxa"/>
            <w:gridSpan w:val="5"/>
            <w:shd w:val="clear" w:color="auto" w:fill="FFFFFF"/>
            <w:vAlign w:val="bottom"/>
          </w:tcPr>
          <w:p w14:paraId="3313F99E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  <w:lang w:val="en-US" w:eastAsia="en-US" w:bidi="en-US"/>
              </w:rPr>
              <w:t>III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Формирование технологической основы функционирования общего электроэнергетического рынка Союза</w:t>
            </w:r>
          </w:p>
        </w:tc>
      </w:tr>
      <w:tr w:rsidR="006567B3" w:rsidRPr="00FB4890" w14:paraId="3FAA6B16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010E62AF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1. Формирование системы информационного обмена, обеспечивающей взаимодействие субъектов общего электроэнергетического рынка Союза</w:t>
            </w:r>
          </w:p>
        </w:tc>
        <w:tc>
          <w:tcPr>
            <w:tcW w:w="2037" w:type="dxa"/>
            <w:shd w:val="clear" w:color="auto" w:fill="FFFFFF"/>
          </w:tcPr>
          <w:p w14:paraId="1FEC918B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в соответствии с международ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softHyphen/>
              <w:t>ным договором</w:t>
            </w:r>
          </w:p>
        </w:tc>
        <w:tc>
          <w:tcPr>
            <w:tcW w:w="2551" w:type="dxa"/>
            <w:shd w:val="clear" w:color="auto" w:fill="FFFFFF"/>
          </w:tcPr>
          <w:p w14:paraId="51983D4A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Комиссия,</w:t>
            </w:r>
            <w:r w:rsidR="00764E4E"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</w:t>
            </w:r>
          </w:p>
          <w:p w14:paraId="58742346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2268" w:type="dxa"/>
            <w:shd w:val="clear" w:color="auto" w:fill="FFFFFF"/>
          </w:tcPr>
          <w:p w14:paraId="7A7A1F6D" w14:textId="77777777" w:rsidR="00441E2F" w:rsidRPr="00FB4890" w:rsidRDefault="00A31C7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бюджет Союза (средства бюджетной сметы Комиссии), бюджеты государств-членов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(средства на обеспечение деятельности уполномоченных органов</w:t>
            </w:r>
            <w:r w:rsidR="00764E4E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государственной власти) и (или) внебюджетные источники</w:t>
            </w:r>
          </w:p>
        </w:tc>
        <w:tc>
          <w:tcPr>
            <w:tcW w:w="2835" w:type="dxa"/>
            <w:shd w:val="clear" w:color="auto" w:fill="FFFFFF"/>
          </w:tcPr>
          <w:p w14:paraId="3A148120" w14:textId="77777777" w:rsidR="00441E2F" w:rsidRPr="00FB4890" w:rsidRDefault="00A31C7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система</w:t>
            </w:r>
            <w:r w:rsidR="00764E4E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информационного обмена субъектов общего</w:t>
            </w:r>
            <w:r w:rsidR="00764E4E">
              <w:t xml:space="preserve"> </w:t>
            </w:r>
            <w:r w:rsidR="00764E4E">
              <w:rPr>
                <w:rStyle w:val="Bodytext213pt1"/>
                <w:rFonts w:ascii="Sylfaen" w:hAnsi="Sylfaen"/>
                <w:sz w:val="24"/>
                <w:szCs w:val="24"/>
              </w:rPr>
              <w:t>электроэнергети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ческого рынка Союза</w:t>
            </w:r>
          </w:p>
        </w:tc>
      </w:tr>
      <w:tr w:rsidR="00944A33" w:rsidRPr="00FB4890" w14:paraId="080345AE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07DB0941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2. Разработка электронной системы торговли, обеспечивающей проведение централизованных торгов по срочным контрактам</w:t>
            </w:r>
          </w:p>
        </w:tc>
        <w:tc>
          <w:tcPr>
            <w:tcW w:w="2037" w:type="dxa"/>
            <w:shd w:val="clear" w:color="auto" w:fill="FFFFFF"/>
          </w:tcPr>
          <w:p w14:paraId="78FEC96B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в соответствии с международным договором</w:t>
            </w:r>
          </w:p>
        </w:tc>
        <w:tc>
          <w:tcPr>
            <w:tcW w:w="2551" w:type="dxa"/>
            <w:shd w:val="clear" w:color="auto" w:fill="FFFFFF"/>
          </w:tcPr>
          <w:p w14:paraId="618200A9" w14:textId="77777777" w:rsidR="00944A33" w:rsidRPr="00FB4890" w:rsidRDefault="00944A3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36037B9" w14:textId="77777777" w:rsidR="00944A33" w:rsidRPr="00FB4890" w:rsidRDefault="00944A3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бюджеты государств-членов (средства на обеспечение деятельности уполномоченных органов</w:t>
            </w:r>
            <w:r w:rsidR="00764E4E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государственной</w:t>
            </w:r>
            <w:r w:rsidR="00764E4E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власти) и (или) внебюджетные источники</w:t>
            </w:r>
          </w:p>
        </w:tc>
        <w:tc>
          <w:tcPr>
            <w:tcW w:w="2835" w:type="dxa"/>
            <w:shd w:val="clear" w:color="auto" w:fill="FFFFFF"/>
          </w:tcPr>
          <w:p w14:paraId="2D46965D" w14:textId="77777777" w:rsidR="00944A33" w:rsidRPr="00FB4890" w:rsidRDefault="00944A3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электронная система торговли по проведению торгов по срочным контрактам</w:t>
            </w:r>
          </w:p>
        </w:tc>
      </w:tr>
      <w:tr w:rsidR="00944A33" w:rsidRPr="00FB4890" w14:paraId="3C70CC20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0094DA2A" w14:textId="77777777" w:rsidR="00944A33" w:rsidRPr="00FB4890" w:rsidRDefault="00944A33" w:rsidP="00FB4890">
            <w:pPr>
              <w:spacing w:after="120"/>
              <w:jc w:val="both"/>
            </w:pPr>
          </w:p>
        </w:tc>
        <w:tc>
          <w:tcPr>
            <w:tcW w:w="2037" w:type="dxa"/>
            <w:shd w:val="clear" w:color="auto" w:fill="FFFFFF"/>
          </w:tcPr>
          <w:p w14:paraId="69822857" w14:textId="77777777" w:rsidR="00944A33" w:rsidRPr="00FB4890" w:rsidRDefault="00944A33" w:rsidP="00FB4890">
            <w:pPr>
              <w:spacing w:after="120"/>
              <w:jc w:val="both"/>
            </w:pPr>
          </w:p>
        </w:tc>
        <w:tc>
          <w:tcPr>
            <w:tcW w:w="2551" w:type="dxa"/>
            <w:shd w:val="clear" w:color="auto" w:fill="FFFFFF"/>
          </w:tcPr>
          <w:p w14:paraId="41527C74" w14:textId="77777777" w:rsidR="00944A33" w:rsidRPr="00FB4890" w:rsidRDefault="00944A33" w:rsidP="00FB4890">
            <w:pPr>
              <w:spacing w:after="120"/>
              <w:jc w:val="both"/>
            </w:pPr>
          </w:p>
        </w:tc>
        <w:tc>
          <w:tcPr>
            <w:tcW w:w="2268" w:type="dxa"/>
            <w:vMerge/>
            <w:shd w:val="clear" w:color="auto" w:fill="FFFFFF"/>
          </w:tcPr>
          <w:p w14:paraId="147D5432" w14:textId="77777777" w:rsidR="00944A33" w:rsidRPr="00FB4890" w:rsidRDefault="00944A33" w:rsidP="00FB489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2713C4C7" w14:textId="77777777" w:rsidR="00944A33" w:rsidRPr="00FB4890" w:rsidRDefault="00944A33" w:rsidP="00FB4890">
            <w:pPr>
              <w:spacing w:after="120"/>
              <w:jc w:val="both"/>
            </w:pPr>
          </w:p>
        </w:tc>
      </w:tr>
      <w:tr w:rsidR="00944A33" w:rsidRPr="00FB4890" w14:paraId="62408C37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4E53CC8E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3. Разработка электронной системы торговли, обеспечивающей проведение скоординированных торгов на сутки вперед</w:t>
            </w:r>
          </w:p>
        </w:tc>
        <w:tc>
          <w:tcPr>
            <w:tcW w:w="2037" w:type="dxa"/>
            <w:shd w:val="clear" w:color="auto" w:fill="FFFFFF"/>
          </w:tcPr>
          <w:p w14:paraId="7FDB30C2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в соответствии с международ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softHyphen/>
              <w:t>ным договором</w:t>
            </w:r>
          </w:p>
        </w:tc>
        <w:tc>
          <w:tcPr>
            <w:tcW w:w="2551" w:type="dxa"/>
            <w:shd w:val="clear" w:color="auto" w:fill="FFFFFF"/>
          </w:tcPr>
          <w:p w14:paraId="16EA8621" w14:textId="77777777" w:rsidR="00441E2F" w:rsidRPr="00FB4890" w:rsidRDefault="00A31C7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68" w:type="dxa"/>
            <w:shd w:val="clear" w:color="auto" w:fill="FFFFFF"/>
          </w:tcPr>
          <w:p w14:paraId="3E285902" w14:textId="77777777" w:rsidR="00441E2F" w:rsidRPr="00FB4890" w:rsidRDefault="00A31C7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 xml:space="preserve">бюджеты государств-членов (средства на обеспечение деятельности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уполномоченных органов</w:t>
            </w:r>
            <w:r w:rsidR="00764E4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государственной власти) и (или) внебюджетные источники,</w:t>
            </w:r>
          </w:p>
        </w:tc>
        <w:tc>
          <w:tcPr>
            <w:tcW w:w="2835" w:type="dxa"/>
            <w:shd w:val="clear" w:color="auto" w:fill="FFFFFF"/>
          </w:tcPr>
          <w:p w14:paraId="2CEB8455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lastRenderedPageBreak/>
              <w:t>электронная система торговли по проведению скоординирован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softHyphen/>
              <w:t>ных торгов на сутки вперед</w:t>
            </w:r>
          </w:p>
        </w:tc>
      </w:tr>
      <w:tr w:rsidR="00441E2F" w:rsidRPr="00FB4890" w14:paraId="55B39528" w14:textId="77777777" w:rsidTr="00944A33">
        <w:trPr>
          <w:jc w:val="center"/>
        </w:trPr>
        <w:tc>
          <w:tcPr>
            <w:tcW w:w="14143" w:type="dxa"/>
            <w:gridSpan w:val="5"/>
            <w:shd w:val="clear" w:color="auto" w:fill="FFFFFF"/>
          </w:tcPr>
          <w:p w14:paraId="615003ED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IV. Обеспечение реализации Программы формирования общего электроэнергетического рынка Евразийского экономического союза</w:t>
            </w:r>
          </w:p>
        </w:tc>
      </w:tr>
      <w:tr w:rsidR="00944A33" w:rsidRPr="00FB4890" w14:paraId="16E7361A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656DF53F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1. Принятие планов по реализации Программы в государствах-членах</w:t>
            </w:r>
          </w:p>
        </w:tc>
        <w:tc>
          <w:tcPr>
            <w:tcW w:w="2037" w:type="dxa"/>
            <w:shd w:val="clear" w:color="auto" w:fill="FFFFFF"/>
          </w:tcPr>
          <w:p w14:paraId="46666A4C" w14:textId="77777777" w:rsidR="00441E2F" w:rsidRPr="00FB4890" w:rsidRDefault="00A31C7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в течение 3 месяцев с даты</w:t>
            </w:r>
            <w:r w:rsidR="00764E4E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утверждения</w:t>
            </w:r>
            <w:r w:rsidR="00764E4E">
              <w:t xml:space="preserve"> </w:t>
            </w: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Программы</w:t>
            </w:r>
          </w:p>
        </w:tc>
        <w:tc>
          <w:tcPr>
            <w:tcW w:w="2551" w:type="dxa"/>
            <w:shd w:val="clear" w:color="auto" w:fill="FFFFFF"/>
          </w:tcPr>
          <w:p w14:paraId="6208BB7A" w14:textId="77777777" w:rsidR="00441E2F" w:rsidRPr="00FB4890" w:rsidRDefault="00A31C7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Style w:val="Bodytext213pt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68" w:type="dxa"/>
            <w:shd w:val="clear" w:color="auto" w:fill="FFFFFF"/>
          </w:tcPr>
          <w:p w14:paraId="040D174F" w14:textId="77777777" w:rsidR="00441E2F" w:rsidRPr="00FB4890" w:rsidRDefault="00441E2F" w:rsidP="00944A33">
            <w:pPr>
              <w:spacing w:after="120"/>
              <w:jc w:val="center"/>
            </w:pPr>
          </w:p>
        </w:tc>
        <w:tc>
          <w:tcPr>
            <w:tcW w:w="2835" w:type="dxa"/>
            <w:shd w:val="clear" w:color="auto" w:fill="FFFFFF"/>
          </w:tcPr>
          <w:p w14:paraId="0543D8F7" w14:textId="77777777" w:rsidR="00441E2F" w:rsidRPr="00FB4890" w:rsidRDefault="00EE5901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3pt1"/>
                <w:rFonts w:ascii="Sylfaen" w:hAnsi="Sylfaen"/>
                <w:sz w:val="24"/>
                <w:szCs w:val="24"/>
              </w:rPr>
              <w:t>акт государства-</w:t>
            </w:r>
            <w:r w:rsidR="00A31C73" w:rsidRPr="00FB4890">
              <w:rPr>
                <w:rStyle w:val="Bodytext213pt1"/>
                <w:rFonts w:ascii="Sylfaen" w:hAnsi="Sylfaen"/>
                <w:sz w:val="24"/>
                <w:szCs w:val="24"/>
              </w:rPr>
              <w:t>члена</w:t>
            </w:r>
          </w:p>
        </w:tc>
      </w:tr>
      <w:tr w:rsidR="00441E2F" w:rsidRPr="00FB4890" w14:paraId="3CC2A281" w14:textId="77777777" w:rsidTr="00944A33">
        <w:trPr>
          <w:jc w:val="center"/>
        </w:trPr>
        <w:tc>
          <w:tcPr>
            <w:tcW w:w="4452" w:type="dxa"/>
            <w:shd w:val="clear" w:color="auto" w:fill="FFFFFF"/>
          </w:tcPr>
          <w:p w14:paraId="3F134A07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Fonts w:ascii="Sylfaen" w:hAnsi="Sylfaen"/>
                <w:sz w:val="24"/>
                <w:szCs w:val="24"/>
              </w:rPr>
              <w:t>2. Мониторинг выполнения Программы</w:t>
            </w:r>
          </w:p>
        </w:tc>
        <w:tc>
          <w:tcPr>
            <w:tcW w:w="2037" w:type="dxa"/>
            <w:shd w:val="clear" w:color="auto" w:fill="FFFFFF"/>
          </w:tcPr>
          <w:p w14:paraId="620BCC6D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Fonts w:ascii="Sylfaen" w:hAnsi="Sylfaen"/>
                <w:sz w:val="24"/>
                <w:szCs w:val="24"/>
              </w:rPr>
              <w:t>не реже 1 раза в год</w:t>
            </w:r>
          </w:p>
        </w:tc>
        <w:tc>
          <w:tcPr>
            <w:tcW w:w="2551" w:type="dxa"/>
            <w:shd w:val="clear" w:color="auto" w:fill="FFFFFF"/>
          </w:tcPr>
          <w:p w14:paraId="79AE6249" w14:textId="77777777" w:rsidR="00441E2F" w:rsidRPr="00FB4890" w:rsidRDefault="00A31C73" w:rsidP="00764E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Fonts w:ascii="Sylfaen" w:hAnsi="Sylfaen"/>
                <w:sz w:val="24"/>
                <w:szCs w:val="24"/>
              </w:rPr>
              <w:t>Комиссия,</w:t>
            </w:r>
            <w:r w:rsidR="00764E4E" w:rsidRPr="00FB489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B4890">
              <w:rPr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268" w:type="dxa"/>
            <w:shd w:val="clear" w:color="auto" w:fill="FFFFFF"/>
          </w:tcPr>
          <w:p w14:paraId="31FD91EB" w14:textId="77777777" w:rsidR="00441E2F" w:rsidRPr="00FB4890" w:rsidRDefault="00441E2F" w:rsidP="00944A33">
            <w:pPr>
              <w:spacing w:after="120"/>
              <w:jc w:val="center"/>
            </w:pPr>
          </w:p>
        </w:tc>
        <w:tc>
          <w:tcPr>
            <w:tcW w:w="2835" w:type="dxa"/>
            <w:shd w:val="clear" w:color="auto" w:fill="FFFFFF"/>
          </w:tcPr>
          <w:p w14:paraId="67D3A089" w14:textId="77777777" w:rsidR="00441E2F" w:rsidRPr="00FB4890" w:rsidRDefault="00A31C73" w:rsidP="00944A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B4890">
              <w:rPr>
                <w:rFonts w:ascii="Sylfaen" w:hAnsi="Sylfaen"/>
                <w:sz w:val="24"/>
                <w:szCs w:val="24"/>
              </w:rPr>
              <w:t>представление доклада для рассмотрения Советом Комиссии</w:t>
            </w:r>
          </w:p>
        </w:tc>
      </w:tr>
    </w:tbl>
    <w:p w14:paraId="11E0F693" w14:textId="77777777" w:rsidR="00441E2F" w:rsidRPr="00FB4890" w:rsidRDefault="00441E2F" w:rsidP="00FB4890">
      <w:pPr>
        <w:spacing w:after="120"/>
        <w:jc w:val="both"/>
      </w:pPr>
    </w:p>
    <w:sectPr w:rsidR="00441E2F" w:rsidRPr="00FB4890" w:rsidSect="006567B3">
      <w:headerReference w:type="even" r:id="rId7"/>
      <w:headerReference w:type="default" r:id="rId8"/>
      <w:pgSz w:w="16840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E1328" w14:textId="77777777" w:rsidR="00BC164D" w:rsidRDefault="00BC164D" w:rsidP="00441E2F">
      <w:r>
        <w:separator/>
      </w:r>
    </w:p>
  </w:endnote>
  <w:endnote w:type="continuationSeparator" w:id="0">
    <w:p w14:paraId="76C233F8" w14:textId="77777777" w:rsidR="00BC164D" w:rsidRDefault="00BC164D" w:rsidP="0044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C1413" w14:textId="77777777" w:rsidR="00BC164D" w:rsidRDefault="00BC164D"/>
  </w:footnote>
  <w:footnote w:type="continuationSeparator" w:id="0">
    <w:p w14:paraId="2DA5D961" w14:textId="77777777" w:rsidR="00BC164D" w:rsidRDefault="00BC1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D2AB" w14:textId="77777777" w:rsidR="00A31C73" w:rsidRDefault="00A31C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3226F" w14:textId="77777777" w:rsidR="00A31C73" w:rsidRDefault="00A31C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F2B59"/>
    <w:multiLevelType w:val="multilevel"/>
    <w:tmpl w:val="4860E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071F6"/>
    <w:multiLevelType w:val="multilevel"/>
    <w:tmpl w:val="9A6E0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D6DA9"/>
    <w:multiLevelType w:val="multilevel"/>
    <w:tmpl w:val="52E0AB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D7961"/>
    <w:multiLevelType w:val="multilevel"/>
    <w:tmpl w:val="8DA21D50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E9580C"/>
    <w:multiLevelType w:val="multilevel"/>
    <w:tmpl w:val="18C47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A51E2"/>
    <w:multiLevelType w:val="multilevel"/>
    <w:tmpl w:val="238038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775607"/>
    <w:multiLevelType w:val="multilevel"/>
    <w:tmpl w:val="0EE26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E2F"/>
    <w:rsid w:val="00100F81"/>
    <w:rsid w:val="0023653F"/>
    <w:rsid w:val="00272F78"/>
    <w:rsid w:val="0038349C"/>
    <w:rsid w:val="003E6410"/>
    <w:rsid w:val="004318C6"/>
    <w:rsid w:val="00441E2F"/>
    <w:rsid w:val="006069DB"/>
    <w:rsid w:val="006567B3"/>
    <w:rsid w:val="00764E4E"/>
    <w:rsid w:val="0082056D"/>
    <w:rsid w:val="0083466E"/>
    <w:rsid w:val="00846FE0"/>
    <w:rsid w:val="008F212F"/>
    <w:rsid w:val="00944A33"/>
    <w:rsid w:val="00947874"/>
    <w:rsid w:val="00A31C73"/>
    <w:rsid w:val="00AC105D"/>
    <w:rsid w:val="00B4588B"/>
    <w:rsid w:val="00BC164D"/>
    <w:rsid w:val="00E26233"/>
    <w:rsid w:val="00E9117B"/>
    <w:rsid w:val="00EE5901"/>
    <w:rsid w:val="00EF6D5D"/>
    <w:rsid w:val="00F2685E"/>
    <w:rsid w:val="00FB4890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E333A"/>
  <w15:docId w15:val="{541B4FB3-8197-483E-9FCF-3115F610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1E2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1E2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">
    <w:name w:val="Body text (2) + Bold"/>
    <w:aliases w:val="Spacing 2 pt"/>
    <w:basedOn w:val="Bodytext2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1">
    <w:name w:val="Body text (2) + 13 pt"/>
    <w:basedOn w:val="Bodytext2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41E2F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41E2F"/>
    <w:pPr>
      <w:shd w:val="clear" w:color="auto" w:fill="FFFFFF"/>
      <w:spacing w:before="1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41E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41E2F"/>
    <w:pPr>
      <w:shd w:val="clear" w:color="auto" w:fill="FFFFFF"/>
      <w:spacing w:before="660" w:line="518" w:lineRule="exact"/>
      <w:ind w:hanging="1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41E2F"/>
    <w:pPr>
      <w:shd w:val="clear" w:color="auto" w:fill="FFFFFF"/>
      <w:spacing w:before="180" w:after="66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441E2F"/>
    <w:pPr>
      <w:shd w:val="clear" w:color="auto" w:fill="FFFFFF"/>
      <w:spacing w:before="120"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0">
    <w:name w:val="Header or footer"/>
    <w:basedOn w:val="Normal"/>
    <w:link w:val="Headerorfooter"/>
    <w:rsid w:val="00441E2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F2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C1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05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C1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05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22</Pages>
  <Words>4904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54</cp:revision>
  <dcterms:created xsi:type="dcterms:W3CDTF">2019-01-17T07:39:00Z</dcterms:created>
  <dcterms:modified xsi:type="dcterms:W3CDTF">2020-05-05T12:10:00Z</dcterms:modified>
</cp:coreProperties>
</file>