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12" w:rsidRPr="00601DC4" w:rsidRDefault="00256ECD" w:rsidP="00290567">
      <w:pPr>
        <w:pStyle w:val="Bodytext20"/>
        <w:shd w:val="clear" w:color="auto" w:fill="auto"/>
        <w:spacing w:before="0" w:after="120" w:line="240" w:lineRule="auto"/>
        <w:ind w:right="36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601DC4">
        <w:rPr>
          <w:rFonts w:ascii="Sylfaen" w:hAnsi="Sylfaen"/>
          <w:sz w:val="24"/>
          <w:szCs w:val="24"/>
        </w:rPr>
        <w:t>Проект</w:t>
      </w:r>
    </w:p>
    <w:p w:rsidR="00601DC4" w:rsidRPr="00290567" w:rsidRDefault="00601DC4" w:rsidP="00601DC4">
      <w:pPr>
        <w:pStyle w:val="Bodytext30"/>
        <w:shd w:val="clear" w:color="auto" w:fill="auto"/>
        <w:spacing w:before="0" w:line="240" w:lineRule="auto"/>
        <w:ind w:right="3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F30712" w:rsidRPr="00601DC4" w:rsidRDefault="00256ECD" w:rsidP="00601DC4">
      <w:pPr>
        <w:pStyle w:val="Bodytext30"/>
        <w:shd w:val="clear" w:color="auto" w:fill="auto"/>
        <w:spacing w:before="0" w:line="240" w:lineRule="auto"/>
        <w:ind w:right="360"/>
        <w:rPr>
          <w:rFonts w:ascii="Sylfaen" w:hAnsi="Sylfaen"/>
          <w:sz w:val="24"/>
          <w:szCs w:val="24"/>
        </w:rPr>
      </w:pPr>
      <w:r w:rsidRPr="00601DC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МЕМОРАНДУМ</w:t>
      </w:r>
    </w:p>
    <w:p w:rsidR="00F30712" w:rsidRPr="00601DC4" w:rsidRDefault="00256ECD" w:rsidP="00601DC4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о взаимопонимании между Евразийской экономической комиссией</w:t>
      </w:r>
      <w:r w:rsid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и Государственным торгово-промышленным административным</w:t>
      </w:r>
      <w:r w:rsid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управлением Китайской Народной Республики в области</w:t>
      </w:r>
      <w:r w:rsid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конкурентной политики и антимонопольного регулирования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Евразийская экономическая комиссия (далее - ЕЭК) и Государственное торгово-промышленное административное управление Китайской Народной Республики (далее - ГТПАУ), далее именуемые Сторонами,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принимая во внимание значение конкуренции для эффективного развития экономики,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выражая намерение развивать сотрудничество в области конкурентной политики и антимонопольного регулирования,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стремясь к созданию благоприятных условий для развития взаимоотношений между Сторонами,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основываясь на принципах равенства и взаимной выгоды, пришли к взаимопониманию о нижеследующем: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right="360"/>
        <w:jc w:val="center"/>
        <w:rPr>
          <w:rFonts w:ascii="Sylfaen" w:hAnsi="Sylfaen"/>
          <w:sz w:val="24"/>
          <w:szCs w:val="24"/>
        </w:rPr>
      </w:pP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I. Цель Меморандума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1. Целью настоящего Меморандума является установление основ для сотрудничества между Сторонами. Стороны в соответствии с положениями настоящего Меморандума, международными договорами и актами, составляющими право Евразийского экономического союза, и законодательством Китайской Народной Республики будут стремиться развивать и укреплять сотрудничество в области конкурентной политики и антимонопольного регулирования.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Направления сотрудничества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Стороны намерены осуществлять сотрудничество в пределах своей компетенции по следующим направлениям: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1)</w:t>
      </w:r>
      <w:r w:rsidRPr="00601DC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01DC4">
        <w:rPr>
          <w:rFonts w:ascii="Sylfaen" w:hAnsi="Sylfaen"/>
          <w:sz w:val="24"/>
          <w:szCs w:val="24"/>
        </w:rPr>
        <w:t>совершенствование правовых основ конкурентной политики и антимонопольного регулирования;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оказание методической помощи по вопросам, связанным с расследованием нарушений правил конкуренции;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содействие осуществлению научных и методологических исследований в области конкурентной политики и антимонопольного регулирования.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76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lastRenderedPageBreak/>
        <w:t>III.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Формы сотрудничества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Сотрудничество в рамках реализации настоящего Меморандума осуществляется путем: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обмена информацией о регулирующих правовых актах, статистическими и справочными материалами и иными документами в области конкурентной политики и антимонопольного регулирования, не содержащими сведения, относящиеся к информации ограниченного распространения;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обмена опытом проведения расследований нарушений правил конкуренции;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обмена опытом проведения исследований товарных рынков;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проведения консультаций по вопросам регулирования правоотношений в области конкурентной политики и антимонопольного регулирования;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участия представителей одной Стороны в мероприятиях по вопросам конкурентной политики и антимонопольного регулирования, проводимых другой Стороной;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проведения совместных встреч, консультаций, тематических семинаров и конференций по вопросам, представляющим взаимный интерес.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88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Механизм реализации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В целях развития сотрудничества по направлениям, указанным в пункте 2 настоящего Меморандума, Сторонами могут быть разработаны планы и программы совместных мероприятий. Условия и порядок проведения указанных мероприятий оговариваются Сторонами отдельно в каждом конкретном случае.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42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Координация взаимодействия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Координация взаимодействия Сторон в рамках реализации настоящего Меморандума будет осуществляться: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со стороны ЕЭК - Департаментом конкурентной политики и политики в области государственных закупок;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со стороны ГТПАУ - Департаментом международного сотрудничества.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88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Конфиденциальность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 xml:space="preserve">В рамках реализации настоящего Меморандума не подлежит передаче информация, доступ к которой ограничен в соответствии с международными договорами и актами, составляющими право Евразийского экономического союза, законодательством государств-членов Евразийского экономического союза и законодательством Китайской Народной Республики. Информация, полученная Сторонами в рамках настоящего Меморандума, может быть передана третьим лицам </w:t>
      </w:r>
      <w:r w:rsidR="00256ECD" w:rsidRPr="00601DC4">
        <w:rPr>
          <w:rFonts w:ascii="Sylfaen" w:hAnsi="Sylfaen"/>
          <w:sz w:val="24"/>
          <w:szCs w:val="24"/>
        </w:rPr>
        <w:lastRenderedPageBreak/>
        <w:t>только при наличии письменного согласия предоставившей ее Стороны.</w:t>
      </w:r>
    </w:p>
    <w:p w:rsidR="00601DC4" w:rsidRPr="0017285D" w:rsidRDefault="00601DC4" w:rsidP="00601DC4">
      <w:pPr>
        <w:pStyle w:val="Bodytext2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</w:rPr>
      </w:pP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Заключительные положения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Настоящий Меморандум не является международным договором, не создает для Сторон прав и обязательств, регулируемых международным правом, и не налагает на Стороны финансовых обязательств.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Вопросы, касающиеся применения настоящего Меморандума, будут решаться путем консультаций и переговоров между Сторонами.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Настоящий Меморандум применяется с даты его подписания.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По взаимному согласию Сторон в настоящий Меморандум могут быть внесены изменения путем подписания соответствующего протокола.</w:t>
      </w:r>
    </w:p>
    <w:p w:rsidR="00F30712" w:rsidRPr="00601DC4" w:rsidRDefault="00601DC4" w:rsidP="00601DC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256ECD" w:rsidRPr="00601DC4">
        <w:rPr>
          <w:rFonts w:ascii="Sylfaen" w:hAnsi="Sylfaen"/>
          <w:sz w:val="24"/>
          <w:szCs w:val="24"/>
        </w:rPr>
        <w:t>Любая из Сторон вправе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</w:t>
      </w:r>
    </w:p>
    <w:p w:rsidR="00F30712" w:rsidRPr="00601DC4" w:rsidRDefault="00256ECD" w:rsidP="00601DC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01DC4">
        <w:rPr>
          <w:rFonts w:ascii="Sylfaen" w:hAnsi="Sylfaen"/>
          <w:sz w:val="24"/>
          <w:szCs w:val="24"/>
        </w:rPr>
        <w:t>Подписано в</w:t>
      </w:r>
      <w:r w:rsidR="00601DC4">
        <w:rPr>
          <w:rFonts w:ascii="Sylfaen" w:hAnsi="Sylfaen"/>
          <w:sz w:val="24"/>
          <w:szCs w:val="24"/>
        </w:rPr>
        <w:t xml:space="preserve"> </w:t>
      </w:r>
      <w:r w:rsidR="00601DC4" w:rsidRPr="00601DC4">
        <w:rPr>
          <w:rFonts w:ascii="Sylfaen" w:hAnsi="Sylfaen"/>
          <w:sz w:val="24"/>
          <w:szCs w:val="24"/>
        </w:rPr>
        <w:t>_____________</w:t>
      </w:r>
      <w:r w:rsidRPr="00601DC4">
        <w:rPr>
          <w:rFonts w:ascii="Sylfaen" w:hAnsi="Sylfaen"/>
          <w:sz w:val="24"/>
          <w:szCs w:val="24"/>
        </w:rPr>
        <w:t>«</w:t>
      </w:r>
      <w:r w:rsidR="00601DC4">
        <w:rPr>
          <w:rFonts w:ascii="Sylfaen" w:hAnsi="Sylfaen"/>
          <w:sz w:val="24"/>
          <w:szCs w:val="24"/>
        </w:rPr>
        <w:t xml:space="preserve"> </w:t>
      </w:r>
      <w:r w:rsidR="00601DC4" w:rsidRPr="00601DC4">
        <w:rPr>
          <w:rFonts w:ascii="Sylfaen" w:hAnsi="Sylfaen"/>
          <w:sz w:val="24"/>
          <w:szCs w:val="24"/>
        </w:rPr>
        <w:t xml:space="preserve">__ </w:t>
      </w:r>
      <w:r w:rsidRPr="00601DC4">
        <w:rPr>
          <w:rFonts w:ascii="Sylfaen" w:hAnsi="Sylfaen"/>
          <w:sz w:val="24"/>
          <w:szCs w:val="24"/>
        </w:rPr>
        <w:t>»</w:t>
      </w:r>
      <w:r w:rsid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20</w:t>
      </w:r>
      <w:r w:rsidR="00601DC4" w:rsidRPr="00601DC4">
        <w:rPr>
          <w:rFonts w:ascii="Sylfaen" w:hAnsi="Sylfaen"/>
          <w:sz w:val="24"/>
          <w:szCs w:val="24"/>
        </w:rPr>
        <w:t>__</w:t>
      </w:r>
      <w:r w:rsid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года</w:t>
      </w:r>
      <w:r w:rsidR="00601DC4" w:rsidRPr="00601DC4">
        <w:rPr>
          <w:rFonts w:ascii="Sylfaen" w:hAnsi="Sylfaen"/>
          <w:sz w:val="24"/>
          <w:szCs w:val="24"/>
        </w:rPr>
        <w:t xml:space="preserve"> </w:t>
      </w:r>
      <w:r w:rsidRPr="00601DC4">
        <w:rPr>
          <w:rFonts w:ascii="Sylfaen" w:hAnsi="Sylfaen"/>
          <w:sz w:val="24"/>
          <w:szCs w:val="24"/>
        </w:rPr>
        <w:t>в двух экземплярах, каждый на русском, китайском и английском языках. В случае возникновения разночтений используется текст на английском языке.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4921"/>
      </w:tblGrid>
      <w:tr w:rsidR="00F30712" w:rsidRPr="00601DC4" w:rsidTr="00601DC4">
        <w:trPr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30712" w:rsidRPr="00601DC4" w:rsidRDefault="00256ECD" w:rsidP="00601DC4">
            <w:pPr>
              <w:pStyle w:val="Bodytext20"/>
              <w:shd w:val="clear" w:color="auto" w:fill="auto"/>
              <w:spacing w:before="0" w:after="120" w:line="240" w:lineRule="auto"/>
              <w:ind w:left="439" w:right="1037"/>
              <w:jc w:val="center"/>
              <w:rPr>
                <w:rFonts w:ascii="Sylfaen" w:hAnsi="Sylfaen"/>
                <w:sz w:val="24"/>
                <w:szCs w:val="24"/>
              </w:rPr>
            </w:pPr>
            <w:r w:rsidRPr="00601DC4">
              <w:rPr>
                <w:rStyle w:val="Bodytext2Bold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F30712" w:rsidRPr="00601DC4" w:rsidRDefault="00256ECD" w:rsidP="00601DC4">
            <w:pPr>
              <w:pStyle w:val="Bodytext20"/>
              <w:shd w:val="clear" w:color="auto" w:fill="auto"/>
              <w:spacing w:before="0" w:after="120" w:line="240" w:lineRule="auto"/>
              <w:ind w:left="219" w:right="430"/>
              <w:jc w:val="center"/>
              <w:rPr>
                <w:rFonts w:ascii="Sylfaen" w:hAnsi="Sylfaen"/>
                <w:sz w:val="24"/>
                <w:szCs w:val="24"/>
              </w:rPr>
            </w:pPr>
            <w:r w:rsidRPr="00601DC4">
              <w:rPr>
                <w:rStyle w:val="Bodytext2Bold"/>
                <w:rFonts w:ascii="Sylfaen" w:hAnsi="Sylfaen"/>
                <w:sz w:val="24"/>
                <w:szCs w:val="24"/>
              </w:rPr>
              <w:t>За Государственное торгово-промышленное административное управление Китайской Народной Республики</w:t>
            </w:r>
          </w:p>
        </w:tc>
      </w:tr>
      <w:tr w:rsidR="00F30712" w:rsidRPr="00601DC4" w:rsidTr="00601DC4">
        <w:trPr>
          <w:jc w:val="center"/>
        </w:trPr>
        <w:tc>
          <w:tcPr>
            <w:tcW w:w="5040" w:type="dxa"/>
            <w:shd w:val="clear" w:color="auto" w:fill="FFFFFF"/>
          </w:tcPr>
          <w:p w:rsidR="00F30712" w:rsidRPr="00601DC4" w:rsidRDefault="00F30712" w:rsidP="00601DC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21" w:type="dxa"/>
            <w:shd w:val="clear" w:color="auto" w:fill="FFFFFF"/>
          </w:tcPr>
          <w:p w:rsidR="00F30712" w:rsidRPr="00601DC4" w:rsidRDefault="00F30712" w:rsidP="00601DC4">
            <w:pPr>
              <w:spacing w:after="120"/>
              <w:rPr>
                <w:rFonts w:ascii="Sylfaen" w:hAnsi="Sylfaen"/>
              </w:rPr>
            </w:pPr>
          </w:p>
        </w:tc>
      </w:tr>
    </w:tbl>
    <w:p w:rsidR="00F30712" w:rsidRPr="00601DC4" w:rsidRDefault="00F30712" w:rsidP="00601DC4">
      <w:pPr>
        <w:spacing w:after="120"/>
        <w:rPr>
          <w:rFonts w:ascii="Sylfaen" w:hAnsi="Sylfaen"/>
        </w:rPr>
      </w:pPr>
    </w:p>
    <w:sectPr w:rsidR="00F30712" w:rsidRPr="00601DC4" w:rsidSect="00601DC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372" w:rsidRDefault="00903372" w:rsidP="00F30712">
      <w:r>
        <w:separator/>
      </w:r>
    </w:p>
  </w:endnote>
  <w:endnote w:type="continuationSeparator" w:id="0">
    <w:p w:rsidR="00903372" w:rsidRDefault="00903372" w:rsidP="00F3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372" w:rsidRDefault="00903372"/>
  </w:footnote>
  <w:footnote w:type="continuationSeparator" w:id="0">
    <w:p w:rsidR="00903372" w:rsidRDefault="00903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4F14"/>
    <w:multiLevelType w:val="multilevel"/>
    <w:tmpl w:val="F4FACC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37B50"/>
    <w:multiLevelType w:val="multilevel"/>
    <w:tmpl w:val="D8421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9317A6"/>
    <w:multiLevelType w:val="multilevel"/>
    <w:tmpl w:val="FA7E3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1C1077"/>
    <w:multiLevelType w:val="multilevel"/>
    <w:tmpl w:val="8A766E2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4C7F1B"/>
    <w:multiLevelType w:val="multilevel"/>
    <w:tmpl w:val="E2462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712"/>
    <w:rsid w:val="0017285D"/>
    <w:rsid w:val="00240EAC"/>
    <w:rsid w:val="00256ECD"/>
    <w:rsid w:val="00290567"/>
    <w:rsid w:val="003F6ED9"/>
    <w:rsid w:val="00601DC4"/>
    <w:rsid w:val="00903372"/>
    <w:rsid w:val="00F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328E"/>
  <w15:docId w15:val="{DED5FE52-300E-4C7F-9C9F-C88D8038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307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071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30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30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3071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3071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307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30712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2019-02-04T08:55:00Z</dcterms:created>
  <dcterms:modified xsi:type="dcterms:W3CDTF">2020-03-23T10:51:00Z</dcterms:modified>
</cp:coreProperties>
</file>