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85F" w:rsidRPr="00AB2741" w:rsidRDefault="004D08BA" w:rsidP="00AB2741">
      <w:pPr>
        <w:pStyle w:val="Bodytext20"/>
        <w:shd w:val="clear" w:color="auto" w:fill="auto"/>
        <w:spacing w:before="0" w:after="120" w:line="240" w:lineRule="auto"/>
        <w:ind w:left="9072" w:firstLine="0"/>
        <w:jc w:val="center"/>
        <w:rPr>
          <w:rFonts w:ascii="Sylfaen" w:hAnsi="Sylfaen"/>
          <w:sz w:val="24"/>
          <w:szCs w:val="24"/>
        </w:rPr>
      </w:pPr>
      <w:bookmarkStart w:id="0" w:name="_GoBack"/>
      <w:bookmarkEnd w:id="0"/>
      <w:r w:rsidRPr="00AB2741">
        <w:rPr>
          <w:rFonts w:ascii="Sylfaen" w:hAnsi="Sylfaen"/>
          <w:sz w:val="24"/>
          <w:szCs w:val="24"/>
        </w:rPr>
        <w:t>УТВЕРЖДЕН</w:t>
      </w:r>
    </w:p>
    <w:p w:rsidR="00AB2741" w:rsidRDefault="004D08BA" w:rsidP="00AB2741">
      <w:pPr>
        <w:pStyle w:val="Bodytext20"/>
        <w:shd w:val="clear" w:color="auto" w:fill="auto"/>
        <w:spacing w:before="0" w:after="120" w:line="240" w:lineRule="auto"/>
        <w:ind w:left="9072" w:firstLine="0"/>
        <w:jc w:val="center"/>
        <w:rPr>
          <w:rFonts w:ascii="Sylfaen" w:hAnsi="Sylfaen"/>
          <w:sz w:val="24"/>
          <w:szCs w:val="24"/>
          <w:lang w:val="en-US"/>
        </w:rPr>
      </w:pPr>
      <w:r w:rsidRPr="00AB2741">
        <w:rPr>
          <w:rFonts w:ascii="Sylfaen" w:hAnsi="Sylfaen"/>
          <w:sz w:val="24"/>
          <w:szCs w:val="24"/>
        </w:rPr>
        <w:t xml:space="preserve">распоряжением Совета Евразийской </w:t>
      </w:r>
      <w:r w:rsidR="00AB2741">
        <w:rPr>
          <w:rFonts w:ascii="Sylfaen" w:hAnsi="Sylfaen"/>
          <w:sz w:val="24"/>
          <w:szCs w:val="24"/>
        </w:rPr>
        <w:t>экономической комиссии</w:t>
      </w:r>
    </w:p>
    <w:p w:rsidR="0026185F" w:rsidRDefault="004D08BA" w:rsidP="00AB2741">
      <w:pPr>
        <w:pStyle w:val="Bodytext20"/>
        <w:shd w:val="clear" w:color="auto" w:fill="auto"/>
        <w:spacing w:before="0" w:after="120" w:line="240" w:lineRule="auto"/>
        <w:ind w:left="9072" w:firstLine="0"/>
        <w:jc w:val="center"/>
        <w:rPr>
          <w:rFonts w:ascii="Sylfaen" w:hAnsi="Sylfaen"/>
          <w:sz w:val="24"/>
          <w:szCs w:val="24"/>
          <w:lang w:val="en-US"/>
        </w:rPr>
      </w:pPr>
      <w:r w:rsidRPr="00AB2741">
        <w:rPr>
          <w:rFonts w:ascii="Sylfaen" w:hAnsi="Sylfaen"/>
          <w:sz w:val="24"/>
          <w:szCs w:val="24"/>
        </w:rPr>
        <w:t>от 20 декабря 2017 г. № 37</w:t>
      </w:r>
    </w:p>
    <w:p w:rsidR="00AB2741" w:rsidRPr="00AB2741" w:rsidRDefault="00AB2741" w:rsidP="00AB2741">
      <w:pPr>
        <w:pStyle w:val="Bodytext20"/>
        <w:shd w:val="clear" w:color="auto" w:fill="auto"/>
        <w:spacing w:before="0" w:after="120" w:line="240" w:lineRule="auto"/>
        <w:ind w:left="9072" w:firstLine="0"/>
        <w:jc w:val="center"/>
        <w:rPr>
          <w:rFonts w:ascii="Sylfaen" w:hAnsi="Sylfaen"/>
          <w:sz w:val="24"/>
          <w:szCs w:val="24"/>
          <w:lang w:val="en-US"/>
        </w:rPr>
      </w:pPr>
    </w:p>
    <w:p w:rsidR="0026185F" w:rsidRPr="00AB2741" w:rsidRDefault="004D08BA" w:rsidP="00AB2741">
      <w:pPr>
        <w:pStyle w:val="Heading20"/>
        <w:shd w:val="clear" w:color="auto" w:fill="auto"/>
        <w:spacing w:line="240" w:lineRule="auto"/>
        <w:ind w:right="100"/>
        <w:rPr>
          <w:rFonts w:ascii="Sylfaen" w:hAnsi="Sylfaen"/>
          <w:sz w:val="24"/>
          <w:szCs w:val="24"/>
        </w:rPr>
      </w:pPr>
      <w:r w:rsidRPr="00AB2741">
        <w:rPr>
          <w:rStyle w:val="Heading2Spacing2pt"/>
          <w:rFonts w:ascii="Sylfaen" w:hAnsi="Sylfaen"/>
          <w:b/>
          <w:bCs/>
          <w:spacing w:val="0"/>
          <w:sz w:val="24"/>
          <w:szCs w:val="24"/>
        </w:rPr>
        <w:t>ПЛАН</w:t>
      </w:r>
    </w:p>
    <w:p w:rsidR="0026185F" w:rsidRPr="00AB2741" w:rsidRDefault="004D08BA" w:rsidP="00AB2741">
      <w:pPr>
        <w:pStyle w:val="Bodytext30"/>
        <w:shd w:val="clear" w:color="auto" w:fill="auto"/>
        <w:spacing w:before="0" w:after="120" w:line="240" w:lineRule="auto"/>
        <w:ind w:right="100"/>
        <w:rPr>
          <w:rFonts w:ascii="Sylfaen" w:hAnsi="Sylfaen"/>
          <w:sz w:val="24"/>
          <w:szCs w:val="24"/>
        </w:rPr>
      </w:pPr>
      <w:r w:rsidRPr="00AB2741">
        <w:rPr>
          <w:rFonts w:ascii="Sylfaen" w:hAnsi="Sylfaen"/>
          <w:sz w:val="24"/>
          <w:szCs w:val="24"/>
        </w:rPr>
        <w:t>мероприятий («дорожная карта») по определению последовательности осуществления</w:t>
      </w:r>
      <w:r w:rsidR="00AB2741" w:rsidRPr="00AB2741">
        <w:rPr>
          <w:rFonts w:ascii="Sylfaen" w:hAnsi="Sylfaen"/>
          <w:sz w:val="24"/>
          <w:szCs w:val="24"/>
        </w:rPr>
        <w:t xml:space="preserve"> </w:t>
      </w:r>
      <w:r w:rsidRPr="00AB2741">
        <w:rPr>
          <w:rFonts w:ascii="Sylfaen" w:hAnsi="Sylfaen"/>
          <w:sz w:val="24"/>
          <w:szCs w:val="24"/>
        </w:rPr>
        <w:t>соответствующих мер по гармонизации законодательства государств - членов Евразийского</w:t>
      </w:r>
      <w:r w:rsidR="00AB2741" w:rsidRPr="00AB2741">
        <w:rPr>
          <w:rFonts w:ascii="Sylfaen" w:hAnsi="Sylfaen"/>
          <w:sz w:val="24"/>
          <w:szCs w:val="24"/>
        </w:rPr>
        <w:t xml:space="preserve"> </w:t>
      </w:r>
      <w:r w:rsidRPr="00AB2741">
        <w:rPr>
          <w:rFonts w:ascii="Sylfaen" w:hAnsi="Sylfaen"/>
          <w:sz w:val="24"/>
          <w:szCs w:val="24"/>
        </w:rPr>
        <w:t>экономического союза в сфере естественных монополий</w:t>
      </w:r>
    </w:p>
    <w:tbl>
      <w:tblPr>
        <w:tblOverlap w:val="never"/>
        <w:tblW w:w="1498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69"/>
        <w:gridCol w:w="39"/>
        <w:gridCol w:w="3004"/>
        <w:gridCol w:w="2420"/>
        <w:gridCol w:w="2830"/>
        <w:gridCol w:w="18"/>
      </w:tblGrid>
      <w:tr w:rsidR="0026185F" w:rsidRPr="00AB2741" w:rsidTr="00AB2741">
        <w:tc>
          <w:tcPr>
            <w:tcW w:w="67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185F" w:rsidRPr="00AB2741" w:rsidRDefault="004D08BA" w:rsidP="00AB274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B2741">
              <w:rPr>
                <w:rStyle w:val="Bodytext211pt"/>
                <w:rFonts w:ascii="Sylfaen" w:hAnsi="Sylfae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185F" w:rsidRPr="00AB2741" w:rsidRDefault="004D08BA" w:rsidP="00AB274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B2741">
              <w:rPr>
                <w:rStyle w:val="Bodytext211pt"/>
                <w:rFonts w:ascii="Sylfaen" w:hAnsi="Sylfaen"/>
                <w:sz w:val="24"/>
                <w:szCs w:val="24"/>
              </w:rPr>
              <w:t>Срок</w:t>
            </w:r>
            <w:r w:rsidR="00AB2741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AB2741">
              <w:rPr>
                <w:rStyle w:val="Bodytext211pt"/>
                <w:rFonts w:ascii="Sylfaen" w:hAnsi="Sylfaen"/>
                <w:sz w:val="24"/>
                <w:szCs w:val="24"/>
              </w:rPr>
              <w:t>реализации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185F" w:rsidRPr="00AB2741" w:rsidRDefault="004D08BA" w:rsidP="00AB274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B2741">
              <w:rPr>
                <w:rStyle w:val="Bodytext211pt"/>
                <w:rFonts w:ascii="Sylfaen" w:hAnsi="Sylfaen"/>
                <w:sz w:val="24"/>
                <w:szCs w:val="24"/>
              </w:rPr>
              <w:t>Ответственный</w:t>
            </w:r>
            <w:r w:rsidR="00AB2741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AB2741">
              <w:rPr>
                <w:rStyle w:val="Bodytext211pt"/>
                <w:rFonts w:ascii="Sylfaen" w:hAnsi="Sylfaen"/>
                <w:sz w:val="24"/>
                <w:szCs w:val="24"/>
              </w:rPr>
              <w:t>исполнитель</w:t>
            </w:r>
          </w:p>
        </w:tc>
        <w:tc>
          <w:tcPr>
            <w:tcW w:w="28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185F" w:rsidRPr="00AB2741" w:rsidRDefault="004D08BA" w:rsidP="00AB2741">
            <w:pPr>
              <w:pStyle w:val="Bodytext20"/>
              <w:shd w:val="clear" w:color="auto" w:fill="auto"/>
              <w:spacing w:before="0" w:after="120" w:line="240" w:lineRule="auto"/>
              <w:ind w:left="260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B2741">
              <w:rPr>
                <w:rStyle w:val="Bodytext211pt"/>
                <w:rFonts w:ascii="Sylfaen" w:hAnsi="Sylfaen"/>
                <w:sz w:val="24"/>
                <w:szCs w:val="24"/>
              </w:rPr>
              <w:t>Ожидаемый результат</w:t>
            </w:r>
          </w:p>
        </w:tc>
      </w:tr>
      <w:tr w:rsidR="0026185F" w:rsidRPr="00AB2741" w:rsidTr="00AB2741">
        <w:tc>
          <w:tcPr>
            <w:tcW w:w="14980" w:type="dxa"/>
            <w:gridSpan w:val="6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6185F" w:rsidRPr="00AB2741" w:rsidRDefault="004D08BA" w:rsidP="00AB274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B2741">
              <w:rPr>
                <w:rStyle w:val="Bodytext211pt"/>
                <w:rFonts w:ascii="Sylfaen" w:hAnsi="Sylfaen"/>
                <w:sz w:val="24"/>
                <w:szCs w:val="24"/>
              </w:rPr>
              <w:t>Этап I. Проведение сравнительного анализа системы и практики регулирования деятельности субъектов естественных монополий и</w:t>
            </w:r>
            <w:r w:rsidR="00AB2741" w:rsidRPr="00AB2741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AB2741">
              <w:rPr>
                <w:rStyle w:val="Bodytext211pt"/>
                <w:rFonts w:ascii="Sylfaen" w:hAnsi="Sylfaen"/>
                <w:sz w:val="24"/>
                <w:szCs w:val="24"/>
              </w:rPr>
              <w:t>законотворческой работы государств - членов Евразийского экономического союза</w:t>
            </w:r>
          </w:p>
        </w:tc>
      </w:tr>
      <w:tr w:rsidR="0026185F" w:rsidRPr="00AB2741" w:rsidTr="00AB2741">
        <w:tc>
          <w:tcPr>
            <w:tcW w:w="6671" w:type="dxa"/>
            <w:shd w:val="clear" w:color="auto" w:fill="FFFFFF"/>
            <w:vAlign w:val="bottom"/>
          </w:tcPr>
          <w:p w:rsidR="0026185F" w:rsidRPr="00AB2741" w:rsidRDefault="004D08BA" w:rsidP="00AB274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B2741">
              <w:rPr>
                <w:rStyle w:val="Bodytext211pt"/>
                <w:rFonts w:ascii="Sylfaen" w:hAnsi="Sylfaen"/>
                <w:sz w:val="24"/>
                <w:szCs w:val="24"/>
              </w:rPr>
              <w:t>1. Анализ информации, представленной уполномоченными органами государств - членов Евразийского экономического союза (далее соответственно - государства-члены, Союз):</w:t>
            </w:r>
          </w:p>
          <w:p w:rsidR="0026185F" w:rsidRPr="00AB2741" w:rsidRDefault="004D08BA" w:rsidP="00AB2741">
            <w:pPr>
              <w:pStyle w:val="Bodytext20"/>
              <w:shd w:val="clear" w:color="auto" w:fill="auto"/>
              <w:spacing w:before="0" w:after="120" w:line="240" w:lineRule="auto"/>
              <w:ind w:left="4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B2741">
              <w:rPr>
                <w:rStyle w:val="Bodytext211pt"/>
                <w:rFonts w:ascii="Sylfaen" w:hAnsi="Sylfaen"/>
                <w:sz w:val="24"/>
                <w:szCs w:val="24"/>
              </w:rPr>
              <w:t>а)</w:t>
            </w:r>
            <w:r w:rsidR="00AB2741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AB2741">
              <w:rPr>
                <w:rStyle w:val="Bodytext211pt"/>
                <w:rFonts w:ascii="Sylfaen" w:hAnsi="Sylfaen"/>
                <w:sz w:val="24"/>
                <w:szCs w:val="24"/>
              </w:rPr>
              <w:t>о планах законотворческой работы государств-членов, в том числе о планируемых направлениях совершенствования законодательства государств-членов в сфере естественных монополий</w:t>
            </w:r>
          </w:p>
          <w:p w:rsidR="0026185F" w:rsidRPr="00AB2741" w:rsidRDefault="004D08BA" w:rsidP="00AB2741">
            <w:pPr>
              <w:pStyle w:val="Bodytext20"/>
              <w:shd w:val="clear" w:color="auto" w:fill="auto"/>
              <w:spacing w:before="0" w:after="120" w:line="240" w:lineRule="auto"/>
              <w:ind w:left="4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B2741">
              <w:rPr>
                <w:rStyle w:val="Bodytext211pt"/>
                <w:rFonts w:ascii="Sylfaen" w:hAnsi="Sylfaen"/>
                <w:sz w:val="24"/>
                <w:szCs w:val="24"/>
              </w:rPr>
              <w:t>б)</w:t>
            </w:r>
            <w:r w:rsidR="00AB2741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AB2741">
              <w:rPr>
                <w:rStyle w:val="Bodytext211pt"/>
                <w:rFonts w:ascii="Sylfaen" w:hAnsi="Sylfaen"/>
                <w:sz w:val="24"/>
                <w:szCs w:val="24"/>
              </w:rPr>
              <w:t>о практике регулирования и (или) контроля в сферах естественных монополий государств-членов</w:t>
            </w:r>
          </w:p>
        </w:tc>
        <w:tc>
          <w:tcPr>
            <w:tcW w:w="3045" w:type="dxa"/>
            <w:gridSpan w:val="2"/>
            <w:shd w:val="clear" w:color="auto" w:fill="FFFFFF"/>
          </w:tcPr>
          <w:p w:rsidR="0026185F" w:rsidRPr="00AB2741" w:rsidRDefault="004D08BA" w:rsidP="00AB274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B2741">
              <w:rPr>
                <w:rStyle w:val="Bodytext211pt"/>
                <w:rFonts w:ascii="Sylfaen" w:hAnsi="Sylfaen"/>
                <w:sz w:val="24"/>
                <w:szCs w:val="24"/>
              </w:rPr>
              <w:t>ежегодно</w:t>
            </w:r>
          </w:p>
        </w:tc>
        <w:tc>
          <w:tcPr>
            <w:tcW w:w="2422" w:type="dxa"/>
            <w:shd w:val="clear" w:color="auto" w:fill="FFFFFF"/>
          </w:tcPr>
          <w:p w:rsidR="0026185F" w:rsidRPr="00AB2741" w:rsidRDefault="004D08BA" w:rsidP="00AB274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B2741">
              <w:rPr>
                <w:rStyle w:val="Bodytext211pt"/>
                <w:rFonts w:ascii="Sylfaen" w:hAnsi="Sylfaen"/>
                <w:sz w:val="24"/>
                <w:szCs w:val="24"/>
              </w:rPr>
              <w:t>Евразийская экономическая комиссия (далее - Комиссия)</w:t>
            </w:r>
          </w:p>
        </w:tc>
        <w:tc>
          <w:tcPr>
            <w:tcW w:w="2842" w:type="dxa"/>
            <w:gridSpan w:val="2"/>
            <w:shd w:val="clear" w:color="auto" w:fill="FFFFFF"/>
          </w:tcPr>
          <w:p w:rsidR="0026185F" w:rsidRPr="00AB2741" w:rsidRDefault="004D08BA" w:rsidP="00AB274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B2741">
              <w:rPr>
                <w:rStyle w:val="Bodytext211pt"/>
                <w:rFonts w:ascii="Sylfaen" w:hAnsi="Sylfaen"/>
                <w:sz w:val="24"/>
                <w:szCs w:val="24"/>
              </w:rPr>
              <w:t>аналитический доклад, информация государств- членов</w:t>
            </w:r>
          </w:p>
        </w:tc>
      </w:tr>
      <w:tr w:rsidR="0026185F" w:rsidRPr="00AB2741" w:rsidTr="00AB2741">
        <w:tc>
          <w:tcPr>
            <w:tcW w:w="6671" w:type="dxa"/>
            <w:shd w:val="clear" w:color="auto" w:fill="FFFFFF"/>
            <w:vAlign w:val="center"/>
          </w:tcPr>
          <w:p w:rsidR="0026185F" w:rsidRPr="00AB2741" w:rsidRDefault="004D08BA" w:rsidP="00AB274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B2741">
              <w:rPr>
                <w:rStyle w:val="Bodytext211pt"/>
                <w:rFonts w:ascii="Sylfaen" w:hAnsi="Sylfaen"/>
                <w:sz w:val="24"/>
                <w:szCs w:val="24"/>
              </w:rPr>
              <w:t>2. Анализ законодательных и иных актов государств-членов в сфере естественных монополий в целях гармонизации, в том числе:</w:t>
            </w:r>
          </w:p>
          <w:p w:rsidR="0026185F" w:rsidRPr="00AB2741" w:rsidRDefault="004D08BA" w:rsidP="00AB2741">
            <w:pPr>
              <w:pStyle w:val="Bodytext20"/>
              <w:shd w:val="clear" w:color="auto" w:fill="auto"/>
              <w:spacing w:before="0" w:after="120" w:line="240" w:lineRule="auto"/>
              <w:ind w:left="4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B274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а)</w:t>
            </w:r>
            <w:r w:rsidR="00AB2741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AB2741">
              <w:rPr>
                <w:rStyle w:val="Bodytext211pt"/>
                <w:rFonts w:ascii="Sylfaen" w:hAnsi="Sylfaen"/>
                <w:sz w:val="24"/>
                <w:szCs w:val="24"/>
              </w:rPr>
              <w:t>основных понятий и определений, используемых в сфере естественных монополий (с разработкой справочника)</w:t>
            </w:r>
          </w:p>
          <w:p w:rsidR="0026185F" w:rsidRPr="00AB2741" w:rsidRDefault="004D08BA" w:rsidP="00AB2741">
            <w:pPr>
              <w:pStyle w:val="Bodytext20"/>
              <w:shd w:val="clear" w:color="auto" w:fill="auto"/>
              <w:spacing w:before="0" w:after="120" w:line="240" w:lineRule="auto"/>
              <w:ind w:left="4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B2741">
              <w:rPr>
                <w:rStyle w:val="Bodytext211pt"/>
                <w:rFonts w:ascii="Sylfaen" w:hAnsi="Sylfaen"/>
                <w:sz w:val="24"/>
                <w:szCs w:val="24"/>
              </w:rPr>
              <w:t>б)</w:t>
            </w:r>
            <w:r w:rsidR="00AB2741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AB2741">
              <w:rPr>
                <w:rStyle w:val="Bodytext211pt"/>
                <w:rFonts w:ascii="Sylfaen" w:hAnsi="Sylfaen"/>
                <w:sz w:val="24"/>
                <w:szCs w:val="24"/>
              </w:rPr>
              <w:t>вопросов формирования тарифов на услуги субъектов естественных монополий (тарифная политика)</w:t>
            </w:r>
          </w:p>
          <w:p w:rsidR="0026185F" w:rsidRPr="00AB2741" w:rsidRDefault="004D08BA" w:rsidP="00AB2741">
            <w:pPr>
              <w:pStyle w:val="Bodytext20"/>
              <w:shd w:val="clear" w:color="auto" w:fill="auto"/>
              <w:spacing w:before="0" w:after="120" w:line="240" w:lineRule="auto"/>
              <w:ind w:left="4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B2741">
              <w:rPr>
                <w:rStyle w:val="Bodytext211pt"/>
                <w:rFonts w:ascii="Sylfaen" w:hAnsi="Sylfaen"/>
                <w:sz w:val="24"/>
                <w:szCs w:val="24"/>
              </w:rPr>
              <w:t>в)</w:t>
            </w:r>
            <w:r w:rsidR="00AB2741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AB2741">
              <w:rPr>
                <w:rStyle w:val="Bodytext211pt"/>
                <w:rFonts w:ascii="Sylfaen" w:hAnsi="Sylfaen"/>
                <w:sz w:val="24"/>
                <w:szCs w:val="24"/>
              </w:rPr>
              <w:t>общих принципов регулирования деятельности субъектов естественных монополий в государствах-членах</w:t>
            </w:r>
          </w:p>
          <w:p w:rsidR="0026185F" w:rsidRPr="00AB2741" w:rsidRDefault="004D08BA" w:rsidP="00AB2741">
            <w:pPr>
              <w:pStyle w:val="Bodytext20"/>
              <w:shd w:val="clear" w:color="auto" w:fill="auto"/>
              <w:spacing w:before="0" w:after="120" w:line="240" w:lineRule="auto"/>
              <w:ind w:left="4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B2741">
              <w:rPr>
                <w:rStyle w:val="Bodytext211pt"/>
                <w:rFonts w:ascii="Sylfaen" w:hAnsi="Sylfaen"/>
                <w:sz w:val="24"/>
                <w:szCs w:val="24"/>
              </w:rPr>
              <w:t>г)</w:t>
            </w:r>
            <w:r w:rsidR="00AB2741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AB2741">
              <w:rPr>
                <w:rStyle w:val="Bodytext211pt"/>
                <w:rFonts w:ascii="Sylfaen" w:hAnsi="Sylfaen"/>
                <w:sz w:val="24"/>
                <w:szCs w:val="24"/>
              </w:rPr>
              <w:t>правил и порядка доступа к услугам субъектов естественных монополий</w:t>
            </w:r>
          </w:p>
          <w:p w:rsidR="0026185F" w:rsidRPr="00AB2741" w:rsidRDefault="004D08BA" w:rsidP="00AB2741">
            <w:pPr>
              <w:pStyle w:val="Bodytext20"/>
              <w:shd w:val="clear" w:color="auto" w:fill="auto"/>
              <w:spacing w:before="0" w:after="120" w:line="240" w:lineRule="auto"/>
              <w:ind w:left="4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B2741">
              <w:rPr>
                <w:rStyle w:val="Bodytext211pt"/>
                <w:rFonts w:ascii="Sylfaen" w:hAnsi="Sylfaen"/>
                <w:sz w:val="24"/>
                <w:szCs w:val="24"/>
              </w:rPr>
              <w:t>д)</w:t>
            </w:r>
            <w:r w:rsidR="00AB2741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AB2741">
              <w:rPr>
                <w:rStyle w:val="Bodytext211pt"/>
                <w:rFonts w:ascii="Sylfaen" w:hAnsi="Sylfaen"/>
                <w:sz w:val="24"/>
                <w:szCs w:val="24"/>
              </w:rPr>
              <w:t>перечня услуг субъектов естественных монополий и особенностей предоставления данных услуг</w:t>
            </w:r>
          </w:p>
          <w:p w:rsidR="0026185F" w:rsidRPr="00AB2741" w:rsidRDefault="004D08BA" w:rsidP="00AB2741">
            <w:pPr>
              <w:pStyle w:val="Bodytext20"/>
              <w:shd w:val="clear" w:color="auto" w:fill="auto"/>
              <w:spacing w:before="0" w:after="120" w:line="240" w:lineRule="auto"/>
              <w:ind w:left="4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B2741">
              <w:rPr>
                <w:rStyle w:val="Bodytext211pt"/>
                <w:rFonts w:ascii="Sylfaen" w:hAnsi="Sylfaen"/>
                <w:sz w:val="24"/>
                <w:szCs w:val="24"/>
              </w:rPr>
              <w:t>е)</w:t>
            </w:r>
            <w:r w:rsidR="00AB2741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AB2741">
              <w:rPr>
                <w:rStyle w:val="Bodytext211pt"/>
                <w:rFonts w:ascii="Sylfaen" w:hAnsi="Sylfaen"/>
                <w:sz w:val="24"/>
                <w:szCs w:val="24"/>
              </w:rPr>
              <w:t>критериев отнесения услуг к сфере естественных монополий</w:t>
            </w:r>
          </w:p>
        </w:tc>
        <w:tc>
          <w:tcPr>
            <w:tcW w:w="3045" w:type="dxa"/>
            <w:gridSpan w:val="2"/>
            <w:shd w:val="clear" w:color="auto" w:fill="FFFFFF"/>
          </w:tcPr>
          <w:p w:rsidR="0026185F" w:rsidRPr="00AB2741" w:rsidRDefault="004D08BA" w:rsidP="00AB274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B274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2018-2019 годы</w:t>
            </w:r>
          </w:p>
        </w:tc>
        <w:tc>
          <w:tcPr>
            <w:tcW w:w="2422" w:type="dxa"/>
            <w:shd w:val="clear" w:color="auto" w:fill="FFFFFF"/>
          </w:tcPr>
          <w:p w:rsidR="0026185F" w:rsidRPr="00AB2741" w:rsidRDefault="004D08BA" w:rsidP="00AB274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B2741">
              <w:rPr>
                <w:rStyle w:val="Bodytext211pt"/>
                <w:rFonts w:ascii="Sylfaen" w:hAnsi="Sylfaen"/>
                <w:sz w:val="24"/>
                <w:szCs w:val="24"/>
              </w:rPr>
              <w:t>Комиссия</w:t>
            </w:r>
          </w:p>
        </w:tc>
        <w:tc>
          <w:tcPr>
            <w:tcW w:w="2842" w:type="dxa"/>
            <w:gridSpan w:val="2"/>
            <w:shd w:val="clear" w:color="auto" w:fill="FFFFFF"/>
          </w:tcPr>
          <w:p w:rsidR="0026185F" w:rsidRPr="00AB2741" w:rsidRDefault="004D08BA" w:rsidP="00AB274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B2741">
              <w:rPr>
                <w:rStyle w:val="Bodytext211pt"/>
                <w:rFonts w:ascii="Sylfaen" w:hAnsi="Sylfaen"/>
                <w:sz w:val="24"/>
                <w:szCs w:val="24"/>
              </w:rPr>
              <w:t>аналитический доклад, согласованный с государствами-членами</w:t>
            </w:r>
          </w:p>
        </w:tc>
      </w:tr>
      <w:tr w:rsidR="0026185F" w:rsidRPr="00AB2741" w:rsidTr="00AB2741">
        <w:tc>
          <w:tcPr>
            <w:tcW w:w="6671" w:type="dxa"/>
            <w:shd w:val="clear" w:color="auto" w:fill="FFFFFF"/>
          </w:tcPr>
          <w:p w:rsidR="0026185F" w:rsidRPr="00AB2741" w:rsidRDefault="004D08BA" w:rsidP="00AB274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B274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3. Анализ проблем и перспектив гармонизации законодательства государств-членов в сфере естественных монополий с учетом результатов анализа, проведенного в соответствии с пунктом 2 настоящего плана.</w:t>
            </w:r>
          </w:p>
        </w:tc>
        <w:tc>
          <w:tcPr>
            <w:tcW w:w="3045" w:type="dxa"/>
            <w:gridSpan w:val="2"/>
            <w:shd w:val="clear" w:color="auto" w:fill="FFFFFF"/>
          </w:tcPr>
          <w:p w:rsidR="0026185F" w:rsidRPr="00AB2741" w:rsidRDefault="004D08BA" w:rsidP="00AB274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B2741">
              <w:rPr>
                <w:rStyle w:val="Bodytext211pt"/>
                <w:rFonts w:ascii="Sylfaen" w:hAnsi="Sylfaen"/>
                <w:sz w:val="24"/>
                <w:szCs w:val="24"/>
              </w:rPr>
              <w:t>2018-2019 годы</w:t>
            </w:r>
          </w:p>
        </w:tc>
        <w:tc>
          <w:tcPr>
            <w:tcW w:w="2422" w:type="dxa"/>
            <w:shd w:val="clear" w:color="auto" w:fill="FFFFFF"/>
          </w:tcPr>
          <w:p w:rsidR="0026185F" w:rsidRPr="00AB2741" w:rsidRDefault="004D08BA" w:rsidP="00AB274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B2741">
              <w:rPr>
                <w:rStyle w:val="Bodytext211pt"/>
                <w:rFonts w:ascii="Sylfaen" w:hAnsi="Sylfaen"/>
                <w:sz w:val="24"/>
                <w:szCs w:val="24"/>
              </w:rPr>
              <w:t>Комиссия</w:t>
            </w:r>
          </w:p>
        </w:tc>
        <w:tc>
          <w:tcPr>
            <w:tcW w:w="2842" w:type="dxa"/>
            <w:gridSpan w:val="2"/>
            <w:shd w:val="clear" w:color="auto" w:fill="FFFFFF"/>
            <w:vAlign w:val="bottom"/>
          </w:tcPr>
          <w:p w:rsidR="0026185F" w:rsidRPr="00AB2741" w:rsidRDefault="004D08BA" w:rsidP="00AB274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B2741">
              <w:rPr>
                <w:rStyle w:val="Bodytext211pt"/>
                <w:rFonts w:ascii="Sylfaen" w:hAnsi="Sylfaen"/>
                <w:sz w:val="24"/>
                <w:szCs w:val="24"/>
              </w:rPr>
              <w:t>включение соответствующей информации в аналитический доклад, предусмотренный пунктом 2 настоящего плана</w:t>
            </w:r>
          </w:p>
        </w:tc>
      </w:tr>
      <w:tr w:rsidR="0026185F" w:rsidRPr="00AB2741" w:rsidTr="00AB2741">
        <w:trPr>
          <w:gridAfter w:val="1"/>
          <w:wAfter w:w="10" w:type="dxa"/>
        </w:trPr>
        <w:tc>
          <w:tcPr>
            <w:tcW w:w="6671" w:type="dxa"/>
            <w:shd w:val="clear" w:color="auto" w:fill="FFFFFF"/>
          </w:tcPr>
          <w:p w:rsidR="0026185F" w:rsidRPr="00AB2741" w:rsidRDefault="004D08BA" w:rsidP="00AB274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B2741">
              <w:rPr>
                <w:rStyle w:val="Bodytext211pt"/>
                <w:rFonts w:ascii="Sylfaen" w:hAnsi="Sylfaen"/>
                <w:sz w:val="24"/>
                <w:szCs w:val="24"/>
              </w:rPr>
              <w:t>4. Анализ правоприменительной практики государств-членов в сфере естественных монополий с учетом результатов анализа, проведенного в соответствии с пунктом 2 настоящего плана</w:t>
            </w:r>
          </w:p>
        </w:tc>
        <w:tc>
          <w:tcPr>
            <w:tcW w:w="3045" w:type="dxa"/>
            <w:gridSpan w:val="2"/>
            <w:shd w:val="clear" w:color="auto" w:fill="FFFFFF"/>
          </w:tcPr>
          <w:p w:rsidR="0026185F" w:rsidRPr="00AB2741" w:rsidRDefault="004D08BA" w:rsidP="00AB274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B2741">
              <w:rPr>
                <w:rStyle w:val="Bodytext211pt"/>
                <w:rFonts w:ascii="Sylfaen" w:hAnsi="Sylfaen"/>
                <w:sz w:val="24"/>
                <w:szCs w:val="24"/>
              </w:rPr>
              <w:t>2018 - 2019 годы</w:t>
            </w:r>
          </w:p>
        </w:tc>
        <w:tc>
          <w:tcPr>
            <w:tcW w:w="2422" w:type="dxa"/>
            <w:shd w:val="clear" w:color="auto" w:fill="FFFFFF"/>
          </w:tcPr>
          <w:p w:rsidR="0026185F" w:rsidRPr="00AB2741" w:rsidRDefault="004D08BA" w:rsidP="00AB274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B2741">
              <w:rPr>
                <w:rStyle w:val="Bodytext211pt"/>
                <w:rFonts w:ascii="Sylfaen" w:hAnsi="Sylfaen"/>
                <w:sz w:val="24"/>
                <w:szCs w:val="24"/>
              </w:rPr>
              <w:t>Комиссия</w:t>
            </w:r>
          </w:p>
        </w:tc>
        <w:tc>
          <w:tcPr>
            <w:tcW w:w="2832" w:type="dxa"/>
            <w:shd w:val="clear" w:color="auto" w:fill="FFFFFF"/>
            <w:vAlign w:val="center"/>
          </w:tcPr>
          <w:p w:rsidR="0026185F" w:rsidRPr="00AB2741" w:rsidRDefault="004D08BA" w:rsidP="00AB274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B2741">
              <w:rPr>
                <w:rStyle w:val="Bodytext211pt"/>
                <w:rFonts w:ascii="Sylfaen" w:hAnsi="Sylfaen"/>
                <w:sz w:val="24"/>
                <w:szCs w:val="24"/>
              </w:rPr>
              <w:t xml:space="preserve">включение соответствующей информации в аналитический доклад, предусмотренный пунктом 2 настоящего </w:t>
            </w:r>
            <w:r w:rsidRPr="00AB274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плана</w:t>
            </w:r>
          </w:p>
        </w:tc>
      </w:tr>
      <w:tr w:rsidR="0026185F" w:rsidRPr="00AB2741" w:rsidTr="00AB2741">
        <w:trPr>
          <w:gridAfter w:val="1"/>
          <w:wAfter w:w="10" w:type="dxa"/>
        </w:trPr>
        <w:tc>
          <w:tcPr>
            <w:tcW w:w="6671" w:type="dxa"/>
            <w:shd w:val="clear" w:color="auto" w:fill="FFFFFF"/>
            <w:vAlign w:val="center"/>
          </w:tcPr>
          <w:p w:rsidR="0026185F" w:rsidRPr="00AB2741" w:rsidRDefault="004D08BA" w:rsidP="00AB274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B274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5. Анализ состояния рынка услуг субъектов естественных монополий, целесообразности и возможности сокращения сфер естественных монополий</w:t>
            </w:r>
          </w:p>
        </w:tc>
        <w:tc>
          <w:tcPr>
            <w:tcW w:w="3045" w:type="dxa"/>
            <w:gridSpan w:val="2"/>
            <w:shd w:val="clear" w:color="auto" w:fill="FFFFFF"/>
          </w:tcPr>
          <w:p w:rsidR="0026185F" w:rsidRPr="00AB2741" w:rsidRDefault="004D08BA" w:rsidP="00AB2741">
            <w:pPr>
              <w:pStyle w:val="Bodytext20"/>
              <w:shd w:val="clear" w:color="auto" w:fill="auto"/>
              <w:spacing w:before="0" w:after="120" w:line="240" w:lineRule="auto"/>
              <w:ind w:left="2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B2741">
              <w:rPr>
                <w:rStyle w:val="Bodytext211pt"/>
                <w:rFonts w:ascii="Sylfaen" w:hAnsi="Sylfaen"/>
                <w:sz w:val="24"/>
                <w:szCs w:val="24"/>
              </w:rPr>
              <w:t>по мере необходимости</w:t>
            </w:r>
          </w:p>
        </w:tc>
        <w:tc>
          <w:tcPr>
            <w:tcW w:w="2422" w:type="dxa"/>
            <w:shd w:val="clear" w:color="auto" w:fill="FFFFFF"/>
          </w:tcPr>
          <w:p w:rsidR="0026185F" w:rsidRPr="00AB2741" w:rsidRDefault="004D08BA" w:rsidP="00AB274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B2741">
              <w:rPr>
                <w:rStyle w:val="Bodytext211pt"/>
                <w:rFonts w:ascii="Sylfaen" w:hAnsi="Sylfaen"/>
                <w:sz w:val="24"/>
                <w:szCs w:val="24"/>
              </w:rPr>
              <w:t>Комиссия,</w:t>
            </w:r>
          </w:p>
          <w:p w:rsidR="0026185F" w:rsidRPr="00AB2741" w:rsidRDefault="004D08BA" w:rsidP="00AB274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B2741">
              <w:rPr>
                <w:rStyle w:val="Bodytext211pt"/>
                <w:rFonts w:ascii="Sylfaen" w:hAnsi="Sylfaen"/>
                <w:sz w:val="24"/>
                <w:szCs w:val="24"/>
              </w:rPr>
              <w:t>государства-члены</w:t>
            </w:r>
          </w:p>
        </w:tc>
        <w:tc>
          <w:tcPr>
            <w:tcW w:w="2832" w:type="dxa"/>
            <w:shd w:val="clear" w:color="auto" w:fill="FFFFFF"/>
            <w:vAlign w:val="center"/>
          </w:tcPr>
          <w:p w:rsidR="0026185F" w:rsidRPr="00AB2741" w:rsidRDefault="004D08BA" w:rsidP="00AB274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B2741">
              <w:rPr>
                <w:rStyle w:val="Bodytext211pt"/>
                <w:rFonts w:ascii="Sylfaen" w:hAnsi="Sylfaen"/>
                <w:sz w:val="24"/>
                <w:szCs w:val="24"/>
              </w:rPr>
              <w:t>аналитический доклад, информация государств- членов</w:t>
            </w:r>
          </w:p>
        </w:tc>
      </w:tr>
      <w:tr w:rsidR="0026185F" w:rsidRPr="00AB2741" w:rsidTr="00AB2741">
        <w:trPr>
          <w:gridAfter w:val="1"/>
          <w:wAfter w:w="10" w:type="dxa"/>
        </w:trPr>
        <w:tc>
          <w:tcPr>
            <w:tcW w:w="14970" w:type="dxa"/>
            <w:gridSpan w:val="5"/>
            <w:shd w:val="clear" w:color="auto" w:fill="FFFFFF"/>
            <w:vAlign w:val="center"/>
          </w:tcPr>
          <w:p w:rsidR="0026185F" w:rsidRPr="00AB2741" w:rsidRDefault="004D08BA" w:rsidP="00AB274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B2741">
              <w:rPr>
                <w:rStyle w:val="Bodytext211pt"/>
                <w:rFonts w:ascii="Sylfaen" w:hAnsi="Sylfaen"/>
                <w:sz w:val="24"/>
                <w:szCs w:val="24"/>
              </w:rPr>
              <w:t>Этап II. Выработка согласованных подходов и принятие актов органов Союза, направленных на гармонизацию законодательства государств-членов в сфере регулирования естественных монополий, после их рассмотрения Консультативным комитетом по естественным монополиям</w:t>
            </w:r>
          </w:p>
        </w:tc>
      </w:tr>
      <w:tr w:rsidR="0026185F" w:rsidRPr="00AB2741" w:rsidTr="00AB2741">
        <w:trPr>
          <w:gridAfter w:val="1"/>
          <w:wAfter w:w="10" w:type="dxa"/>
        </w:trPr>
        <w:tc>
          <w:tcPr>
            <w:tcW w:w="6671" w:type="dxa"/>
            <w:shd w:val="clear" w:color="auto" w:fill="FFFFFF"/>
            <w:vAlign w:val="center"/>
          </w:tcPr>
          <w:p w:rsidR="0026185F" w:rsidRPr="00AB2741" w:rsidRDefault="004D08BA" w:rsidP="00AB274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B2741">
              <w:rPr>
                <w:rStyle w:val="Bodytext211pt"/>
                <w:rFonts w:ascii="Sylfaen" w:hAnsi="Sylfaen"/>
                <w:sz w:val="24"/>
                <w:szCs w:val="24"/>
              </w:rPr>
              <w:t>6. Подготовка на основе результатов анализа, предусмотренного этапом I настоящего плана, предложений, направленных на формирование согласованных подходов при отнесении услуг к сфере естественных монополий, применении установленных принципов и правил регулирования деятельности субъектов естественных монополий и оценке гармонизации законодательства государств-членов в сфере естественных монополий</w:t>
            </w:r>
          </w:p>
        </w:tc>
        <w:tc>
          <w:tcPr>
            <w:tcW w:w="3045" w:type="dxa"/>
            <w:gridSpan w:val="2"/>
            <w:shd w:val="clear" w:color="auto" w:fill="FFFFFF"/>
          </w:tcPr>
          <w:p w:rsidR="0026185F" w:rsidRPr="00AB2741" w:rsidRDefault="004D08BA" w:rsidP="00AB274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B2741">
              <w:rPr>
                <w:rStyle w:val="Bodytext211pt"/>
                <w:rFonts w:ascii="Sylfaen" w:hAnsi="Sylfaen"/>
                <w:sz w:val="24"/>
                <w:szCs w:val="24"/>
              </w:rPr>
              <w:t>до 1 октября 2020 г.</w:t>
            </w:r>
          </w:p>
        </w:tc>
        <w:tc>
          <w:tcPr>
            <w:tcW w:w="2422" w:type="dxa"/>
            <w:shd w:val="clear" w:color="auto" w:fill="FFFFFF"/>
          </w:tcPr>
          <w:p w:rsidR="0026185F" w:rsidRPr="00AB2741" w:rsidRDefault="004D08BA" w:rsidP="00AB274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B2741">
              <w:rPr>
                <w:rStyle w:val="Bodytext211pt"/>
                <w:rFonts w:ascii="Sylfaen" w:hAnsi="Sylfaen"/>
                <w:sz w:val="24"/>
                <w:szCs w:val="24"/>
              </w:rPr>
              <w:t>Комиссия</w:t>
            </w:r>
          </w:p>
        </w:tc>
        <w:tc>
          <w:tcPr>
            <w:tcW w:w="2832" w:type="dxa"/>
            <w:shd w:val="clear" w:color="auto" w:fill="FFFFFF"/>
          </w:tcPr>
          <w:p w:rsidR="0026185F" w:rsidRPr="00AB2741" w:rsidRDefault="004D08BA" w:rsidP="00AB274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B2741">
              <w:rPr>
                <w:rStyle w:val="Bodytext211pt"/>
                <w:rFonts w:ascii="Sylfaen" w:hAnsi="Sylfaen"/>
                <w:sz w:val="24"/>
                <w:szCs w:val="24"/>
              </w:rPr>
              <w:t>предложения, согласованные с уполномоченными органами государств- членов</w:t>
            </w:r>
          </w:p>
        </w:tc>
      </w:tr>
      <w:tr w:rsidR="0026185F" w:rsidRPr="00AB2741" w:rsidTr="00AB2741">
        <w:trPr>
          <w:gridAfter w:val="1"/>
          <w:wAfter w:w="10" w:type="dxa"/>
        </w:trPr>
        <w:tc>
          <w:tcPr>
            <w:tcW w:w="6671" w:type="dxa"/>
            <w:shd w:val="clear" w:color="auto" w:fill="FFFFFF"/>
            <w:vAlign w:val="center"/>
          </w:tcPr>
          <w:p w:rsidR="0026185F" w:rsidRPr="00AB2741" w:rsidRDefault="004D08BA" w:rsidP="00AB274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B2741">
              <w:rPr>
                <w:rStyle w:val="Bodytext211pt"/>
                <w:rFonts w:ascii="Sylfaen" w:hAnsi="Sylfaen"/>
                <w:sz w:val="24"/>
                <w:szCs w:val="24"/>
              </w:rPr>
              <w:t>7. Принятие рекомендации об основных критериях и условиях отнесения услуг к сфере естественных монополий</w:t>
            </w:r>
          </w:p>
        </w:tc>
        <w:tc>
          <w:tcPr>
            <w:tcW w:w="3045" w:type="dxa"/>
            <w:gridSpan w:val="2"/>
            <w:shd w:val="clear" w:color="auto" w:fill="FFFFFF"/>
          </w:tcPr>
          <w:p w:rsidR="0026185F" w:rsidRPr="00AB2741" w:rsidRDefault="004D08BA" w:rsidP="00AB274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B2741">
              <w:rPr>
                <w:rStyle w:val="Bodytext211pt"/>
                <w:rFonts w:ascii="Sylfaen" w:hAnsi="Sylfaen"/>
                <w:sz w:val="24"/>
                <w:szCs w:val="24"/>
              </w:rPr>
              <w:t>I квартал 2021 г.</w:t>
            </w:r>
          </w:p>
        </w:tc>
        <w:tc>
          <w:tcPr>
            <w:tcW w:w="2422" w:type="dxa"/>
            <w:shd w:val="clear" w:color="auto" w:fill="FFFFFF"/>
          </w:tcPr>
          <w:p w:rsidR="0026185F" w:rsidRPr="00AB2741" w:rsidRDefault="004D08BA" w:rsidP="00AB274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B2741">
              <w:rPr>
                <w:rStyle w:val="Bodytext211pt"/>
                <w:rFonts w:ascii="Sylfaen" w:hAnsi="Sylfaen"/>
                <w:sz w:val="24"/>
                <w:szCs w:val="24"/>
              </w:rPr>
              <w:t>Комиссия</w:t>
            </w:r>
          </w:p>
        </w:tc>
        <w:tc>
          <w:tcPr>
            <w:tcW w:w="2832" w:type="dxa"/>
            <w:shd w:val="clear" w:color="auto" w:fill="FFFFFF"/>
          </w:tcPr>
          <w:p w:rsidR="0026185F" w:rsidRPr="00AB2741" w:rsidRDefault="004D08BA" w:rsidP="00AB2741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B2741">
              <w:rPr>
                <w:rStyle w:val="Bodytext211pt"/>
                <w:rFonts w:ascii="Sylfaen" w:hAnsi="Sylfaen"/>
                <w:sz w:val="24"/>
                <w:szCs w:val="24"/>
              </w:rPr>
              <w:t>рекомендация Комиссии</w:t>
            </w:r>
          </w:p>
        </w:tc>
      </w:tr>
      <w:tr w:rsidR="0026185F" w:rsidRPr="00AB2741" w:rsidTr="00AB2741">
        <w:trPr>
          <w:gridAfter w:val="1"/>
          <w:wAfter w:w="10" w:type="dxa"/>
        </w:trPr>
        <w:tc>
          <w:tcPr>
            <w:tcW w:w="6671" w:type="dxa"/>
            <w:shd w:val="clear" w:color="auto" w:fill="FFFFFF"/>
            <w:vAlign w:val="bottom"/>
          </w:tcPr>
          <w:p w:rsidR="0026185F" w:rsidRPr="00AB2741" w:rsidRDefault="004D08BA" w:rsidP="00AB274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B2741">
              <w:rPr>
                <w:rStyle w:val="Bodytext211pt"/>
                <w:rFonts w:ascii="Sylfaen" w:hAnsi="Sylfaen"/>
                <w:sz w:val="24"/>
                <w:szCs w:val="24"/>
              </w:rPr>
              <w:t>8. Принятие количественных и качественных показателей оценки гармонизации законодательства государств-членов в сфере естественных монополий</w:t>
            </w:r>
          </w:p>
        </w:tc>
        <w:tc>
          <w:tcPr>
            <w:tcW w:w="3045" w:type="dxa"/>
            <w:gridSpan w:val="2"/>
            <w:shd w:val="clear" w:color="auto" w:fill="FFFFFF"/>
          </w:tcPr>
          <w:p w:rsidR="0026185F" w:rsidRPr="00AB2741" w:rsidRDefault="004D08BA" w:rsidP="00AB274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B2741">
              <w:rPr>
                <w:rStyle w:val="Bodytext211pt"/>
                <w:rFonts w:ascii="Sylfaen" w:hAnsi="Sylfaen"/>
                <w:sz w:val="24"/>
                <w:szCs w:val="24"/>
              </w:rPr>
              <w:t>I квартал 2021 г.</w:t>
            </w:r>
          </w:p>
        </w:tc>
        <w:tc>
          <w:tcPr>
            <w:tcW w:w="2422" w:type="dxa"/>
            <w:shd w:val="clear" w:color="auto" w:fill="FFFFFF"/>
          </w:tcPr>
          <w:p w:rsidR="0026185F" w:rsidRPr="00AB2741" w:rsidRDefault="004D08BA" w:rsidP="00AB274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B2741">
              <w:rPr>
                <w:rStyle w:val="Bodytext211pt"/>
                <w:rFonts w:ascii="Sylfaen" w:hAnsi="Sylfaen"/>
                <w:sz w:val="24"/>
                <w:szCs w:val="24"/>
              </w:rPr>
              <w:t>Комиссия</w:t>
            </w:r>
          </w:p>
        </w:tc>
        <w:tc>
          <w:tcPr>
            <w:tcW w:w="2832" w:type="dxa"/>
            <w:shd w:val="clear" w:color="auto" w:fill="FFFFFF"/>
          </w:tcPr>
          <w:p w:rsidR="0026185F" w:rsidRPr="00AB2741" w:rsidRDefault="004D08BA" w:rsidP="00AB2741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B2741">
              <w:rPr>
                <w:rStyle w:val="Bodytext211pt"/>
                <w:rFonts w:ascii="Sylfaen" w:hAnsi="Sylfaen"/>
                <w:sz w:val="24"/>
                <w:szCs w:val="24"/>
              </w:rPr>
              <w:t>рекомендация Комиссии</w:t>
            </w:r>
          </w:p>
        </w:tc>
      </w:tr>
      <w:tr w:rsidR="0026185F" w:rsidRPr="00AB2741" w:rsidTr="00AB2741">
        <w:tc>
          <w:tcPr>
            <w:tcW w:w="667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6185F" w:rsidRPr="00AB2741" w:rsidRDefault="004D08BA" w:rsidP="00AB274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B2741">
              <w:rPr>
                <w:rStyle w:val="Bodytext211pt"/>
                <w:rFonts w:ascii="Sylfaen" w:hAnsi="Sylfaen"/>
                <w:sz w:val="24"/>
                <w:szCs w:val="24"/>
              </w:rPr>
              <w:t>9. Принятие рекомендации, обеспечивающей применение единых принципов и правил регулирования деятельности субъектов естественных монополий (рекомендуемых для включения в законодательство государств-членов), с учетом особенностей сфер естественных монополий</w:t>
            </w:r>
          </w:p>
        </w:tc>
        <w:tc>
          <w:tcPr>
            <w:tcW w:w="3038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26185F" w:rsidRPr="00AB2741" w:rsidRDefault="004D08BA" w:rsidP="00AB274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B2741">
              <w:rPr>
                <w:rStyle w:val="Bodytext211pt"/>
                <w:rFonts w:ascii="Sylfaen" w:hAnsi="Sylfaen"/>
                <w:sz w:val="24"/>
                <w:szCs w:val="24"/>
              </w:rPr>
              <w:t>IV квартал 2021 г.</w:t>
            </w:r>
          </w:p>
        </w:tc>
        <w:tc>
          <w:tcPr>
            <w:tcW w:w="2419" w:type="dxa"/>
            <w:tcBorders>
              <w:top w:val="single" w:sz="4" w:space="0" w:color="auto"/>
            </w:tcBorders>
            <w:shd w:val="clear" w:color="auto" w:fill="FFFFFF"/>
          </w:tcPr>
          <w:p w:rsidR="0026185F" w:rsidRPr="00AB2741" w:rsidRDefault="004D08BA" w:rsidP="00AB274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B2741">
              <w:rPr>
                <w:rStyle w:val="Bodytext211pt"/>
                <w:rFonts w:ascii="Sylfaen" w:hAnsi="Sylfaen"/>
                <w:sz w:val="24"/>
                <w:szCs w:val="24"/>
              </w:rPr>
              <w:t>Комиссия</w:t>
            </w:r>
          </w:p>
        </w:tc>
        <w:tc>
          <w:tcPr>
            <w:tcW w:w="285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26185F" w:rsidRPr="00AB2741" w:rsidRDefault="004D08BA" w:rsidP="00AB2741">
            <w:pPr>
              <w:pStyle w:val="Bodytext20"/>
              <w:shd w:val="clear" w:color="auto" w:fill="auto"/>
              <w:spacing w:before="0" w:after="120" w:line="240" w:lineRule="auto"/>
              <w:ind w:left="1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B2741">
              <w:rPr>
                <w:rStyle w:val="Bodytext211pt"/>
                <w:rFonts w:ascii="Sylfaen" w:hAnsi="Sylfaen"/>
                <w:sz w:val="24"/>
                <w:szCs w:val="24"/>
              </w:rPr>
              <w:t>рекомендация Комиссии</w:t>
            </w:r>
          </w:p>
        </w:tc>
      </w:tr>
      <w:tr w:rsidR="0026185F" w:rsidRPr="00AB2741" w:rsidTr="00AB2741">
        <w:tc>
          <w:tcPr>
            <w:tcW w:w="6673" w:type="dxa"/>
            <w:shd w:val="clear" w:color="auto" w:fill="FFFFFF"/>
          </w:tcPr>
          <w:p w:rsidR="0026185F" w:rsidRPr="00AB2741" w:rsidRDefault="004D08BA" w:rsidP="00AB274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B274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10. Принятие перечня нормативных правовых актов государств-членов, подлежащих сближению (с указанием норм и положений)</w:t>
            </w:r>
          </w:p>
        </w:tc>
        <w:tc>
          <w:tcPr>
            <w:tcW w:w="3038" w:type="dxa"/>
            <w:gridSpan w:val="2"/>
            <w:shd w:val="clear" w:color="auto" w:fill="FFFFFF"/>
          </w:tcPr>
          <w:p w:rsidR="0026185F" w:rsidRPr="00AB2741" w:rsidRDefault="004D08BA" w:rsidP="00AB274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B2741">
              <w:rPr>
                <w:rStyle w:val="Bodytext211pt"/>
                <w:rFonts w:ascii="Sylfaen" w:hAnsi="Sylfaen"/>
                <w:sz w:val="24"/>
                <w:szCs w:val="24"/>
              </w:rPr>
              <w:t>IV квартал 2021 г.</w:t>
            </w:r>
          </w:p>
        </w:tc>
        <w:tc>
          <w:tcPr>
            <w:tcW w:w="2419" w:type="dxa"/>
            <w:shd w:val="clear" w:color="auto" w:fill="FFFFFF"/>
          </w:tcPr>
          <w:p w:rsidR="0026185F" w:rsidRPr="00AB2741" w:rsidRDefault="004D08BA" w:rsidP="00AB274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B2741">
              <w:rPr>
                <w:rStyle w:val="Bodytext211pt"/>
                <w:rFonts w:ascii="Sylfaen" w:hAnsi="Sylfaen"/>
                <w:sz w:val="24"/>
                <w:szCs w:val="24"/>
              </w:rPr>
              <w:t>Комиссия</w:t>
            </w:r>
          </w:p>
        </w:tc>
        <w:tc>
          <w:tcPr>
            <w:tcW w:w="2850" w:type="dxa"/>
            <w:gridSpan w:val="2"/>
            <w:shd w:val="clear" w:color="auto" w:fill="FFFFFF"/>
            <w:vAlign w:val="center"/>
          </w:tcPr>
          <w:p w:rsidR="0026185F" w:rsidRPr="00AB2741" w:rsidRDefault="004D08BA" w:rsidP="00AB274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B2741">
              <w:rPr>
                <w:rStyle w:val="Bodytext211pt"/>
                <w:rFonts w:ascii="Sylfaen" w:hAnsi="Sylfaen"/>
                <w:sz w:val="24"/>
                <w:szCs w:val="24"/>
              </w:rPr>
              <w:t>проект перечня нормативных правовых актов государств-членов, решение Высшего Евразийского экономического совета</w:t>
            </w:r>
          </w:p>
        </w:tc>
      </w:tr>
      <w:tr w:rsidR="0026185F" w:rsidRPr="00AB2741" w:rsidTr="00AB2741">
        <w:tc>
          <w:tcPr>
            <w:tcW w:w="14980" w:type="dxa"/>
            <w:gridSpan w:val="6"/>
            <w:shd w:val="clear" w:color="auto" w:fill="FFFFFF"/>
            <w:vAlign w:val="center"/>
          </w:tcPr>
          <w:p w:rsidR="0026185F" w:rsidRPr="00AB2741" w:rsidRDefault="004D08BA" w:rsidP="00AB274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B2741">
              <w:rPr>
                <w:rStyle w:val="Bodytext211pt"/>
                <w:rFonts w:ascii="Sylfaen" w:hAnsi="Sylfaen"/>
                <w:sz w:val="24"/>
                <w:szCs w:val="24"/>
              </w:rPr>
              <w:t>Этап III. Гармонизация законодательства государств-членов в сфере естественных монополий</w:t>
            </w:r>
          </w:p>
        </w:tc>
      </w:tr>
      <w:tr w:rsidR="0026185F" w:rsidRPr="00AB2741" w:rsidTr="00AB2741">
        <w:tc>
          <w:tcPr>
            <w:tcW w:w="6712" w:type="dxa"/>
            <w:gridSpan w:val="2"/>
            <w:shd w:val="clear" w:color="auto" w:fill="FFFFFF"/>
          </w:tcPr>
          <w:p w:rsidR="0026185F" w:rsidRPr="00AB2741" w:rsidRDefault="004D08BA" w:rsidP="00AB274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B2741">
              <w:rPr>
                <w:rStyle w:val="Bodytext211pt"/>
                <w:rFonts w:ascii="Sylfaen" w:hAnsi="Sylfaen"/>
                <w:sz w:val="24"/>
                <w:szCs w:val="24"/>
              </w:rPr>
              <w:t>11. Реализация государствами-членами актов органов Союза, предусмотренных этапом II настоящего плана</w:t>
            </w:r>
          </w:p>
        </w:tc>
        <w:tc>
          <w:tcPr>
            <w:tcW w:w="2999" w:type="dxa"/>
            <w:shd w:val="clear" w:color="auto" w:fill="FFFFFF"/>
            <w:vAlign w:val="center"/>
          </w:tcPr>
          <w:p w:rsidR="0026185F" w:rsidRPr="00AB2741" w:rsidRDefault="004D08BA" w:rsidP="00AB274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B2741">
              <w:rPr>
                <w:rStyle w:val="Bodytext211pt"/>
                <w:rFonts w:ascii="Sylfaen" w:hAnsi="Sylfaen"/>
                <w:sz w:val="24"/>
                <w:szCs w:val="24"/>
              </w:rPr>
              <w:t>в соответствии со сроками, установленными государствами-членами</w:t>
            </w:r>
          </w:p>
        </w:tc>
        <w:tc>
          <w:tcPr>
            <w:tcW w:w="2419" w:type="dxa"/>
            <w:shd w:val="clear" w:color="auto" w:fill="FFFFFF"/>
          </w:tcPr>
          <w:p w:rsidR="0026185F" w:rsidRPr="00AB2741" w:rsidRDefault="004D08BA" w:rsidP="00AB274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B2741">
              <w:rPr>
                <w:rStyle w:val="Bodytext211pt"/>
                <w:rFonts w:ascii="Sylfaen" w:hAnsi="Sylfaen"/>
                <w:sz w:val="24"/>
                <w:szCs w:val="24"/>
              </w:rPr>
              <w:t>государства-члены</w:t>
            </w:r>
          </w:p>
        </w:tc>
        <w:tc>
          <w:tcPr>
            <w:tcW w:w="2850" w:type="dxa"/>
            <w:gridSpan w:val="2"/>
            <w:shd w:val="clear" w:color="auto" w:fill="FFFFFF"/>
          </w:tcPr>
          <w:p w:rsidR="0026185F" w:rsidRPr="00AB2741" w:rsidRDefault="004D08BA" w:rsidP="00AB274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B2741">
              <w:rPr>
                <w:rStyle w:val="Bodytext211pt"/>
                <w:rFonts w:ascii="Sylfaen" w:hAnsi="Sylfaen"/>
                <w:sz w:val="24"/>
                <w:szCs w:val="24"/>
              </w:rPr>
              <w:t>нормативные правовые акты государств-членов</w:t>
            </w:r>
          </w:p>
        </w:tc>
      </w:tr>
      <w:tr w:rsidR="0026185F" w:rsidRPr="00AB2741" w:rsidTr="00AB2741">
        <w:tc>
          <w:tcPr>
            <w:tcW w:w="6712" w:type="dxa"/>
            <w:gridSpan w:val="2"/>
            <w:shd w:val="clear" w:color="auto" w:fill="FFFFFF"/>
            <w:vAlign w:val="bottom"/>
          </w:tcPr>
          <w:p w:rsidR="0026185F" w:rsidRPr="00AB2741" w:rsidRDefault="004D08BA" w:rsidP="00AB274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B2741">
              <w:rPr>
                <w:rStyle w:val="Bodytext211pt"/>
                <w:rFonts w:ascii="Sylfaen" w:hAnsi="Sylfaen"/>
                <w:sz w:val="24"/>
                <w:szCs w:val="24"/>
              </w:rPr>
              <w:t>12. Мониторинг исполнения государствами-членами решения Высшего Евразийского экономического совета о гармонизации законодательства государств-членов в сфере естественных монополий</w:t>
            </w:r>
          </w:p>
        </w:tc>
        <w:tc>
          <w:tcPr>
            <w:tcW w:w="2999" w:type="dxa"/>
            <w:shd w:val="clear" w:color="auto" w:fill="FFFFFF"/>
            <w:vAlign w:val="bottom"/>
          </w:tcPr>
          <w:p w:rsidR="0026185F" w:rsidRPr="00AB2741" w:rsidRDefault="004D08BA" w:rsidP="00AB274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B2741">
              <w:rPr>
                <w:rStyle w:val="Bodytext211pt"/>
                <w:rFonts w:ascii="Sylfaen" w:hAnsi="Sylfaen"/>
                <w:sz w:val="24"/>
                <w:szCs w:val="24"/>
              </w:rPr>
              <w:t>в соответствии со сроками, установленными ВьхсцщмЕвразийским эковбм^еейим советом</w:t>
            </w:r>
          </w:p>
        </w:tc>
        <w:tc>
          <w:tcPr>
            <w:tcW w:w="2419" w:type="dxa"/>
            <w:shd w:val="clear" w:color="auto" w:fill="FFFFFF"/>
          </w:tcPr>
          <w:p w:rsidR="0026185F" w:rsidRPr="00AB2741" w:rsidRDefault="004D08BA" w:rsidP="00AB274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B2741">
              <w:rPr>
                <w:rStyle w:val="Bodytext211pt"/>
                <w:rFonts w:ascii="Sylfaen" w:hAnsi="Sylfaen"/>
                <w:sz w:val="24"/>
                <w:szCs w:val="24"/>
              </w:rPr>
              <w:t>Комиссия</w:t>
            </w:r>
          </w:p>
        </w:tc>
        <w:tc>
          <w:tcPr>
            <w:tcW w:w="2850" w:type="dxa"/>
            <w:gridSpan w:val="2"/>
            <w:shd w:val="clear" w:color="auto" w:fill="FFFFFF"/>
          </w:tcPr>
          <w:p w:rsidR="0026185F" w:rsidRPr="00AB2741" w:rsidRDefault="004D08BA" w:rsidP="00AB274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B2741">
              <w:rPr>
                <w:rStyle w:val="Bodytext211pt"/>
                <w:rFonts w:ascii="Sylfaen" w:hAnsi="Sylfaen"/>
                <w:sz w:val="24"/>
                <w:szCs w:val="24"/>
              </w:rPr>
              <w:t>аналитический отчет</w:t>
            </w:r>
          </w:p>
        </w:tc>
      </w:tr>
    </w:tbl>
    <w:p w:rsidR="0026185F" w:rsidRPr="00AB2741" w:rsidRDefault="0026185F" w:rsidP="00AB2741">
      <w:pPr>
        <w:spacing w:after="120"/>
        <w:rPr>
          <w:rFonts w:ascii="Sylfaen" w:hAnsi="Sylfaen"/>
        </w:rPr>
      </w:pPr>
    </w:p>
    <w:p w:rsidR="004736A2" w:rsidRPr="00AB2741" w:rsidRDefault="004736A2">
      <w:pPr>
        <w:spacing w:after="120"/>
        <w:rPr>
          <w:rFonts w:ascii="Sylfaen" w:hAnsi="Sylfaen"/>
        </w:rPr>
      </w:pPr>
    </w:p>
    <w:sectPr w:rsidR="004736A2" w:rsidRPr="00AB2741" w:rsidSect="00AB2741">
      <w:pgSz w:w="16840" w:h="11909" w:orient="landscape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386F" w:rsidRDefault="00AF386F" w:rsidP="0026185F">
      <w:r>
        <w:separator/>
      </w:r>
    </w:p>
  </w:endnote>
  <w:endnote w:type="continuationSeparator" w:id="0">
    <w:p w:rsidR="00AF386F" w:rsidRDefault="00AF386F" w:rsidP="00261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386F" w:rsidRDefault="00AF386F"/>
  </w:footnote>
  <w:footnote w:type="continuationSeparator" w:id="0">
    <w:p w:rsidR="00AF386F" w:rsidRDefault="00AF386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44ACB"/>
    <w:multiLevelType w:val="multilevel"/>
    <w:tmpl w:val="3B1E54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26185F"/>
    <w:rsid w:val="0026185F"/>
    <w:rsid w:val="004736A2"/>
    <w:rsid w:val="004D08BA"/>
    <w:rsid w:val="007A3F98"/>
    <w:rsid w:val="00AB2741"/>
    <w:rsid w:val="00AF3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egoe UI" w:eastAsia="Segoe UI" w:hAnsi="Segoe UI" w:cs="Segoe UI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6185F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6185F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26185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1">
    <w:name w:val="Heading #1_"/>
    <w:basedOn w:val="DefaultParagraphFont"/>
    <w:link w:val="Heading10"/>
    <w:rsid w:val="0026185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ablecaption">
    <w:name w:val="Table caption_"/>
    <w:basedOn w:val="DefaultParagraphFont"/>
    <w:link w:val="Tablecaption0"/>
    <w:rsid w:val="0026185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ablecaptionSpacing4pt">
    <w:name w:val="Table caption + Spacing 4 pt"/>
    <w:basedOn w:val="Tablecaption"/>
    <w:rsid w:val="0026185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2618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">
    <w:name w:val="Body text (2)"/>
    <w:basedOn w:val="Bodytext2"/>
    <w:rsid w:val="002618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2">
    <w:name w:val="Body text (2)"/>
    <w:basedOn w:val="Bodytext2"/>
    <w:rsid w:val="002618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3">
    <w:name w:val="Body text (2)"/>
    <w:basedOn w:val="Bodytext2"/>
    <w:rsid w:val="002618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Heading2">
    <w:name w:val="Heading #2_"/>
    <w:basedOn w:val="DefaultParagraphFont"/>
    <w:link w:val="Heading20"/>
    <w:rsid w:val="0026185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2Spacing2pt">
    <w:name w:val="Heading #2 + Spacing 2 pt"/>
    <w:basedOn w:val="Heading2"/>
    <w:rsid w:val="0026185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11pt">
    <w:name w:val="Body text (2) + 11 pt"/>
    <w:basedOn w:val="Bodytext2"/>
    <w:rsid w:val="002618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Bodytext30">
    <w:name w:val="Body text (3)"/>
    <w:basedOn w:val="Normal"/>
    <w:link w:val="Bodytext3"/>
    <w:rsid w:val="0026185F"/>
    <w:pPr>
      <w:shd w:val="clear" w:color="auto" w:fill="FFFFFF"/>
      <w:spacing w:before="420" w:after="300" w:line="346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ing10">
    <w:name w:val="Heading #1"/>
    <w:basedOn w:val="Normal"/>
    <w:link w:val="Heading1"/>
    <w:rsid w:val="0026185F"/>
    <w:pPr>
      <w:shd w:val="clear" w:color="auto" w:fill="FFFFFF"/>
      <w:spacing w:before="120" w:after="8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0">
    <w:name w:val="Table caption"/>
    <w:basedOn w:val="Normal"/>
    <w:link w:val="Tablecaption"/>
    <w:rsid w:val="0026185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20">
    <w:name w:val="Body text (2)"/>
    <w:basedOn w:val="Normal"/>
    <w:link w:val="Bodytext2"/>
    <w:rsid w:val="0026185F"/>
    <w:pPr>
      <w:shd w:val="clear" w:color="auto" w:fill="FFFFFF"/>
      <w:spacing w:before="300" w:line="518" w:lineRule="exact"/>
      <w:ind w:hanging="680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Heading20">
    <w:name w:val="Heading #2"/>
    <w:basedOn w:val="Normal"/>
    <w:link w:val="Heading2"/>
    <w:rsid w:val="0026185F"/>
    <w:pPr>
      <w:shd w:val="clear" w:color="auto" w:fill="FFFFFF"/>
      <w:spacing w:after="12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Bodytext212pt">
    <w:name w:val="Body text (2) + 12 pt"/>
    <w:aliases w:val="Spacing -1 pt"/>
    <w:basedOn w:val="Bodytext2"/>
    <w:rsid w:val="00AB27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3F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F98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107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754</Words>
  <Characters>4301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Lusine Khazarian</cp:lastModifiedBy>
  <cp:revision>3</cp:revision>
  <cp:lastPrinted>2018-10-03T11:39:00Z</cp:lastPrinted>
  <dcterms:created xsi:type="dcterms:W3CDTF">2018-03-27T13:00:00Z</dcterms:created>
  <dcterms:modified xsi:type="dcterms:W3CDTF">2018-10-03T11:50:00Z</dcterms:modified>
</cp:coreProperties>
</file>