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bookmarkStart w:id="0" w:name="_GoBack"/>
      <w:bookmarkEnd w:id="0"/>
      <w:r w:rsidRPr="00267CDD">
        <w:rPr>
          <w:rFonts w:ascii="Sylfaen" w:hAnsi="Sylfaen"/>
          <w:sz w:val="24"/>
          <w:szCs w:val="24"/>
        </w:rPr>
        <w:t>ПРИЛОЖЕНИЕ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к Решению Коллегии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left="4536" w:firstLine="0"/>
        <w:jc w:val="center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от 23 января 2018 г. № 12</w:t>
      </w:r>
    </w:p>
    <w:p w:rsidR="00CD64DE" w:rsidRDefault="00CD64DE" w:rsidP="00267CDD">
      <w:pPr>
        <w:pStyle w:val="Bodytext30"/>
        <w:shd w:val="clear" w:color="auto" w:fill="auto"/>
        <w:spacing w:line="24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  <w:lang w:val="en-US"/>
        </w:rPr>
      </w:pPr>
    </w:p>
    <w:p w:rsidR="00841474" w:rsidRPr="00267CDD" w:rsidRDefault="005574DA" w:rsidP="00267CD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267CDD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ИЗМЕНЕНИЕ,</w:t>
      </w:r>
    </w:p>
    <w:p w:rsidR="00841474" w:rsidRPr="00E6628E" w:rsidRDefault="005574DA" w:rsidP="00267CD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 xml:space="preserve">вносимое в раздел 13 главы </w:t>
      </w:r>
      <w:r w:rsidRPr="00267CDD">
        <w:rPr>
          <w:rStyle w:val="Bodytext3BookmanOldStyle"/>
          <w:rFonts w:ascii="Sylfaen" w:hAnsi="Sylfaen"/>
          <w:b/>
          <w:bCs/>
          <w:sz w:val="24"/>
          <w:szCs w:val="24"/>
        </w:rPr>
        <w:t xml:space="preserve">II </w:t>
      </w:r>
      <w:r w:rsidRPr="00267CDD">
        <w:rPr>
          <w:rFonts w:ascii="Sylfaen" w:hAnsi="Sylfaen"/>
          <w:sz w:val="24"/>
          <w:szCs w:val="24"/>
        </w:rPr>
        <w:t>Единых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>санитарно-эпидемиологических и гигиенических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>требований к продукции (товарам), подлежащей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>санитарно-эпидемиологическому надзору (контролю)</w:t>
      </w:r>
    </w:p>
    <w:p w:rsidR="00CD64DE" w:rsidRPr="00E6628E" w:rsidRDefault="00CD64DE" w:rsidP="00267CDD">
      <w:pPr>
        <w:pStyle w:val="Bodytext3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 xml:space="preserve">Раздел </w:t>
      </w:r>
      <w:r w:rsidRPr="00CD64DE">
        <w:rPr>
          <w:rStyle w:val="Bodytext2Bold0"/>
          <w:rFonts w:ascii="Sylfaen" w:hAnsi="Sylfaen"/>
          <w:b w:val="0"/>
          <w:sz w:val="24"/>
          <w:szCs w:val="24"/>
        </w:rPr>
        <w:t xml:space="preserve">13 </w:t>
      </w:r>
      <w:r w:rsidRPr="00267CDD">
        <w:rPr>
          <w:rFonts w:ascii="Sylfaen" w:hAnsi="Sylfaen"/>
          <w:sz w:val="24"/>
          <w:szCs w:val="24"/>
        </w:rPr>
        <w:t xml:space="preserve">главы </w:t>
      </w:r>
      <w:r w:rsidRPr="00CD64DE">
        <w:rPr>
          <w:rStyle w:val="Bodytext2Bold0"/>
          <w:rFonts w:ascii="Sylfaen" w:hAnsi="Sylfaen"/>
          <w:b w:val="0"/>
          <w:sz w:val="24"/>
          <w:szCs w:val="24"/>
        </w:rPr>
        <w:t xml:space="preserve">II </w:t>
      </w:r>
      <w:r w:rsidRPr="00267CDD">
        <w:rPr>
          <w:rFonts w:ascii="Sylfaen" w:hAnsi="Sylfaen"/>
          <w:sz w:val="24"/>
          <w:szCs w:val="24"/>
        </w:rPr>
        <w:t>изложить в следующей редакции:</w:t>
      </w:r>
    </w:p>
    <w:p w:rsidR="00CD64DE" w:rsidRPr="00E6628E" w:rsidRDefault="00CD64DE" w:rsidP="00267CD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41474" w:rsidRPr="00E6628E" w:rsidRDefault="005574DA" w:rsidP="00267CD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«Раздел 13. Требования к некурительной табачной продукции,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>некурительным табачным изделиям и используемому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>для их производства табачному сырью</w:t>
      </w:r>
    </w:p>
    <w:p w:rsidR="00CD64DE" w:rsidRPr="00E6628E" w:rsidRDefault="00CD64DE" w:rsidP="00267CDD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41474" w:rsidRPr="00267CDD" w:rsidRDefault="00267CDD" w:rsidP="00CD64DE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1.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Область применения</w:t>
      </w:r>
    </w:p>
    <w:p w:rsidR="00CD64DE" w:rsidRPr="00E6628E" w:rsidRDefault="00CD64DE" w:rsidP="00267CDD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841474" w:rsidRPr="00267CDD" w:rsidRDefault="00267CDD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1.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Настоящий раздел устанавливает требования к некурительной табачной продукции, некурительным табачным изделиям (в том числе к табаку жевательному, табаку нюхательному, табаку сосательному (снюсу)) и используемому для их производства табачному сырью, классифицируемым в товарных позициях 2401 и 2403 ТН ВЭД ЕАЭС.</w:t>
      </w:r>
    </w:p>
    <w:p w:rsidR="00CD64DE" w:rsidRPr="00E6628E" w:rsidRDefault="00CD64DE" w:rsidP="00CD64DE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841474" w:rsidRPr="00E6628E" w:rsidRDefault="00267CDD" w:rsidP="00CD64DE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2.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Определения</w:t>
      </w:r>
    </w:p>
    <w:p w:rsidR="00CD64DE" w:rsidRPr="00E6628E" w:rsidRDefault="00CD64DE" w:rsidP="00CD64DE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</w:p>
    <w:p w:rsidR="00841474" w:rsidRPr="00267CDD" w:rsidRDefault="00267CDD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2.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Для целей настоящего раздела используются понятия, которые означают следующее: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«ингредиент» - вещество (за исключением табачного листа и других частей табака), используемое при производстве некурительного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67CDD">
        <w:rPr>
          <w:rFonts w:ascii="Sylfaen" w:hAnsi="Sylfaen"/>
          <w:sz w:val="24"/>
          <w:szCs w:val="24"/>
        </w:rPr>
        <w:t>табачного изделия и присутствующее в готовом некурительном табачном изделии, в том числе в измененной форме;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«некурительная табачная продукция» - некурительное табачное изделие, упакованное в потребительскую упаковку;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«некурительное табачное изделие» - табачное изделие, предназначенное для сосания, жевания, нюханья;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 xml:space="preserve">«табак» - растение рода 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Nicotiana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67CDD">
        <w:rPr>
          <w:rFonts w:ascii="Sylfaen" w:hAnsi="Sylfaen"/>
          <w:sz w:val="24"/>
          <w:szCs w:val="24"/>
        </w:rPr>
        <w:t xml:space="preserve">семейства пасленовых видов 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Nicotiana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lastRenderedPageBreak/>
        <w:t>Tabacum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67CDD">
        <w:rPr>
          <w:rFonts w:ascii="Sylfaen" w:hAnsi="Sylfaen"/>
          <w:sz w:val="24"/>
          <w:szCs w:val="24"/>
        </w:rPr>
        <w:t xml:space="preserve">и 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Nicotiana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Rustica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267CDD">
        <w:rPr>
          <w:rFonts w:ascii="Sylfaen" w:hAnsi="Sylfaen"/>
          <w:sz w:val="24"/>
          <w:szCs w:val="24"/>
        </w:rPr>
        <w:t>возделываемое в целях получения табачного сырья;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«табак жевательный» - вид некурительного табачного изделия, предназначенного для жевания и изготовленного из спрессованных обрывков табачных листьев с добавлением или без добавления нетабачного сырья и иных ингредиентов;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«табак нюхательный» - вид некурительного табачного изделия, предназначенного для нюханья и изготовленного из тонкоизмельченного табака с добавлением или без добавления нетабачного сырья и иных ингредиентов;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«табак сосательный (снюс)» - вид некурительного табачного изделия, предназначенного для сосания и полностью или частично изготовленного из очищенной табачной пыли и (или) мелкой фракции резаного табака с добавлением или без добавления нетабачного сырья и иных ингредиентов;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«табачное изделие» - продукт, полностью или частично изготовленный из табачного листа и (или) других частей табака в качестве сырьевого материала, приготовленный таким образом, чтобы использовать его для сосания, жевания или нюханья;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«табачное сырье» - табак, прошедший послеуборочную и (или) иную промышленную обработку и используемый при производстве некурительной табачной продукции.</w:t>
      </w:r>
    </w:p>
    <w:p w:rsidR="006F6ACF" w:rsidRPr="00E6628E" w:rsidRDefault="006F6ACF" w:rsidP="006F6ACF">
      <w:pPr>
        <w:pStyle w:val="Bodytext20"/>
        <w:shd w:val="clear" w:color="auto" w:fill="auto"/>
        <w:spacing w:after="120" w:line="240" w:lineRule="auto"/>
        <w:ind w:firstLine="0"/>
        <w:jc w:val="both"/>
        <w:rPr>
          <w:rFonts w:ascii="Sylfaen" w:hAnsi="Sylfaen"/>
          <w:sz w:val="24"/>
          <w:szCs w:val="24"/>
        </w:rPr>
      </w:pPr>
    </w:p>
    <w:p w:rsidR="00841474" w:rsidRPr="00E6628E" w:rsidRDefault="00267CDD" w:rsidP="006F6ACF">
      <w:pPr>
        <w:pStyle w:val="Bodytext20"/>
        <w:shd w:val="clear" w:color="auto" w:fill="auto"/>
        <w:spacing w:after="120" w:line="240" w:lineRule="auto"/>
        <w:ind w:firstLine="0"/>
        <w:jc w:val="center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3.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Санитарно-эпидемиологические и гигиенические требования</w:t>
      </w:r>
    </w:p>
    <w:p w:rsidR="006F6ACF" w:rsidRPr="00E6628E" w:rsidRDefault="006F6ACF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З.При производстве некурительной табачной продукции и некурительных табачных изделий не допускается использование в качестве ингредиентов следующих веществ: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а)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 xml:space="preserve">агарициновая кислота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Acidum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agarricinicum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березовое дегтярное масло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Oleum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Betulae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empyreumaticum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масло горького миндаля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Oleum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Amygdalarum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amarum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 </w:t>
      </w:r>
      <w:r w:rsidRPr="00267CDD">
        <w:rPr>
          <w:rFonts w:ascii="Sylfaen" w:hAnsi="Sylfaen"/>
          <w:sz w:val="24"/>
          <w:szCs w:val="24"/>
        </w:rPr>
        <w:t xml:space="preserve">с содержанием свободной или связанной синильной кислоты, масло сассафраса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Oleum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Sassafratis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можжевельниковое дегтярное масло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Oleum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Juniperi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empyreumaticum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камфорное масло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Oleum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camphoratum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>камфора, кумарин, сафлор, туйон;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б)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>вещества, оборот которых запрещен в соответствии с международными договорами в рамках Союза;</w:t>
      </w:r>
    </w:p>
    <w:p w:rsidR="00841474" w:rsidRPr="00267CDD" w:rsidRDefault="005574DA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в)</w:t>
      </w:r>
      <w:r w:rsidR="00234AE7">
        <w:rPr>
          <w:rFonts w:ascii="Sylfaen" w:hAnsi="Sylfaen"/>
          <w:sz w:val="24"/>
          <w:szCs w:val="24"/>
        </w:rPr>
        <w:t xml:space="preserve"> </w:t>
      </w:r>
      <w:r w:rsidRPr="00267CDD">
        <w:rPr>
          <w:rFonts w:ascii="Sylfaen" w:hAnsi="Sylfaen"/>
          <w:sz w:val="24"/>
          <w:szCs w:val="24"/>
        </w:rPr>
        <w:t xml:space="preserve">ароматические и вкусовые вещества, изготовленные из древесного стебля паслена горько-сладкого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Stipites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Dulcamarae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травы пулегиевой мяты (блошной мяты)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Herba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Pulegii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лиатрисы пахучей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Liatris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odoratissima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камфорного дерева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Camphorae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корневища многоножки обыкновенной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Rhizoma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Polypodii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корневища папоротника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Rhizoma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Filicis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dulcis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древесины квассии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Lignum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Quassiae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коры мыльного дерева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Cortex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Quillaja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травы пижмы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Herba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Tanaceti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травы руты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Herba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lastRenderedPageBreak/>
        <w:t>Rutae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стебля, листьев, коры сассафраса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Stipes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Folium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, 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Cortex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Sassafratis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донника лекарственного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Millilotus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officinalis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), </w:t>
      </w:r>
      <w:r w:rsidRPr="00267CDD">
        <w:rPr>
          <w:rFonts w:ascii="Sylfaen" w:hAnsi="Sylfaen"/>
          <w:sz w:val="24"/>
          <w:szCs w:val="24"/>
        </w:rPr>
        <w:t xml:space="preserve">бобов тонка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Semen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Pr="00267CDD">
        <w:rPr>
          <w:rFonts w:ascii="Sylfaen" w:hAnsi="Sylfaen"/>
          <w:sz w:val="24"/>
          <w:szCs w:val="24"/>
        </w:rPr>
        <w:t>То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n</w:t>
      </w:r>
      <w:r w:rsidRPr="00267CDD">
        <w:rPr>
          <w:rFonts w:ascii="Sylfaen" w:hAnsi="Sylfaen"/>
          <w:sz w:val="24"/>
          <w:szCs w:val="24"/>
        </w:rPr>
        <w:t xml:space="preserve">сае), ясменника </w:t>
      </w:r>
      <w:r w:rsidRPr="00267CDD">
        <w:rPr>
          <w:rFonts w:ascii="Sylfaen" w:hAnsi="Sylfaen"/>
          <w:sz w:val="24"/>
          <w:szCs w:val="24"/>
          <w:lang w:eastAsia="en-US" w:bidi="en-US"/>
        </w:rPr>
        <w:t>(</w:t>
      </w:r>
      <w:r w:rsidRPr="00267CDD">
        <w:rPr>
          <w:rFonts w:ascii="Sylfaen" w:hAnsi="Sylfaen"/>
          <w:sz w:val="24"/>
          <w:szCs w:val="24"/>
          <w:lang w:val="en-US" w:eastAsia="en-US" w:bidi="en-US"/>
        </w:rPr>
        <w:t>Asperula</w:t>
      </w:r>
      <w:r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proofErr w:type="spellStart"/>
      <w:r w:rsidRPr="00267CDD">
        <w:rPr>
          <w:rFonts w:ascii="Sylfaen" w:hAnsi="Sylfaen"/>
          <w:sz w:val="24"/>
          <w:szCs w:val="24"/>
          <w:lang w:val="en-US" w:eastAsia="en-US" w:bidi="en-US"/>
        </w:rPr>
        <w:t>odorata</w:t>
      </w:r>
      <w:proofErr w:type="spellEnd"/>
      <w:r w:rsidRPr="00267CDD">
        <w:rPr>
          <w:rFonts w:ascii="Sylfaen" w:hAnsi="Sylfaen"/>
          <w:sz w:val="24"/>
          <w:szCs w:val="24"/>
          <w:lang w:eastAsia="en-US" w:bidi="en-US"/>
        </w:rPr>
        <w:t>).</w:t>
      </w:r>
    </w:p>
    <w:p w:rsidR="00841474" w:rsidRPr="00267CDD" w:rsidRDefault="00267CDD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4.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Не допускается использование в качестве ингредиентов для табака сосательного (снюса) и табака жевательного иных веществ, кроме пищевых продуктов, пищевых добавок и ароматизаторов, разрешенных для использования в пищевых продуктах.</w:t>
      </w:r>
    </w:p>
    <w:p w:rsidR="00841474" w:rsidRPr="00267CDD" w:rsidRDefault="00267CDD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5.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Ингредиенты, используемые в качестве ароматизаторов, соусов, экстрактов для табака сосательного (снюса) и табака жевательного, должны соответствовать по содержанию тяжелых металлов и пестицидов требованиям раздела 1 настоящей главы.</w:t>
      </w:r>
    </w:p>
    <w:p w:rsidR="00841474" w:rsidRPr="00267CDD" w:rsidRDefault="00267CDD" w:rsidP="00CD64DE">
      <w:pPr>
        <w:pStyle w:val="Bodytext20"/>
        <w:shd w:val="clear" w:color="auto" w:fill="auto"/>
        <w:spacing w:after="120" w:line="240" w:lineRule="auto"/>
        <w:ind w:firstLine="567"/>
        <w:jc w:val="both"/>
        <w:rPr>
          <w:rFonts w:ascii="Sylfaen" w:hAnsi="Sylfaen"/>
          <w:sz w:val="24"/>
          <w:szCs w:val="24"/>
        </w:rPr>
      </w:pPr>
      <w:r w:rsidRPr="00267CDD">
        <w:rPr>
          <w:rFonts w:ascii="Sylfaen" w:hAnsi="Sylfaen"/>
          <w:sz w:val="24"/>
          <w:szCs w:val="24"/>
        </w:rPr>
        <w:t>6.</w:t>
      </w:r>
      <w:r w:rsidR="00234AE7">
        <w:rPr>
          <w:rFonts w:ascii="Sylfaen" w:hAnsi="Sylfaen"/>
          <w:sz w:val="24"/>
          <w:szCs w:val="24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Предельно допустимые</w:t>
      </w:r>
      <w:r w:rsidR="005574DA" w:rsidRPr="00267CDD">
        <w:rPr>
          <w:rFonts w:ascii="Sylfaen" w:hAnsi="Sylfaen"/>
          <w:sz w:val="24"/>
          <w:szCs w:val="24"/>
          <w:lang w:eastAsia="en-US" w:bidi="en-US"/>
        </w:rPr>
        <w:t xml:space="preserve"> </w:t>
      </w:r>
      <w:r w:rsidR="005574DA" w:rsidRPr="00267CDD">
        <w:rPr>
          <w:rFonts w:ascii="Sylfaen" w:hAnsi="Sylfaen"/>
          <w:sz w:val="24"/>
          <w:szCs w:val="24"/>
        </w:rPr>
        <w:t>уровни содержания пестицидов в табачном сырье предусмотрены разделом 15 настоящей главы.».</w:t>
      </w:r>
      <w:bookmarkStart w:id="1" w:name="bookmark1"/>
      <w:bookmarkEnd w:id="1"/>
    </w:p>
    <w:sectPr w:rsidR="00841474" w:rsidRPr="00267CDD" w:rsidSect="00267CDD">
      <w:type w:val="continuous"/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711D" w:rsidRDefault="00BD711D" w:rsidP="00841474">
      <w:r>
        <w:separator/>
      </w:r>
    </w:p>
  </w:endnote>
  <w:endnote w:type="continuationSeparator" w:id="0">
    <w:p w:rsidR="00BD711D" w:rsidRDefault="00BD711D" w:rsidP="00841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711D" w:rsidRDefault="00BD711D"/>
  </w:footnote>
  <w:footnote w:type="continuationSeparator" w:id="0">
    <w:p w:rsidR="00BD711D" w:rsidRDefault="00BD711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604F0B"/>
    <w:multiLevelType w:val="multilevel"/>
    <w:tmpl w:val="5D96C27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0481CAD"/>
    <w:multiLevelType w:val="multilevel"/>
    <w:tmpl w:val="7B64185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3643A5"/>
    <w:multiLevelType w:val="multilevel"/>
    <w:tmpl w:val="10BAFA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1474"/>
    <w:rsid w:val="00234AE7"/>
    <w:rsid w:val="00267CDD"/>
    <w:rsid w:val="005574DA"/>
    <w:rsid w:val="006F6ACF"/>
    <w:rsid w:val="00841474"/>
    <w:rsid w:val="00B46BF2"/>
    <w:rsid w:val="00BD711D"/>
    <w:rsid w:val="00CD64DE"/>
    <w:rsid w:val="00E66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877C337-57F2-4B4E-A24D-0F8CA6245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41474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1474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841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841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">
    <w:name w:val="Table caption_"/>
    <w:basedOn w:val="DefaultParagraphFont"/>
    <w:link w:val="Tablecaption0"/>
    <w:rsid w:val="00841474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TablecaptionBold">
    <w:name w:val="Table caption + Bold"/>
    <w:basedOn w:val="Tablecaption"/>
    <w:rsid w:val="00841474"/>
    <w:rPr>
      <w:rFonts w:ascii="Georgia" w:eastAsia="Georgia" w:hAnsi="Georgia" w:cs="Georgia"/>
      <w:b/>
      <w:bCs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8414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Tahoma">
    <w:name w:val="Body text (2) + Tahoma"/>
    <w:aliases w:val="13 pt,Bold"/>
    <w:basedOn w:val="Bodytext2"/>
    <w:rsid w:val="0084147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Tahoma0">
    <w:name w:val="Body text (2) + Tahoma"/>
    <w:aliases w:val="13 pt,Bold"/>
    <w:basedOn w:val="Bodytext2"/>
    <w:rsid w:val="00841474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aliases w:val="Spacing 2 pt"/>
    <w:basedOn w:val="Bodytext2"/>
    <w:rsid w:val="00841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841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3BookmanOldStyle">
    <w:name w:val="Body text (3) + Bookman Old Style"/>
    <w:aliases w:val="14 pt"/>
    <w:basedOn w:val="Bodytext3"/>
    <w:rsid w:val="00841474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2Bold0">
    <w:name w:val="Body text (2) + Bold"/>
    <w:basedOn w:val="Bodytext2"/>
    <w:rsid w:val="0084147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841474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841474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0">
    <w:name w:val="Table caption"/>
    <w:basedOn w:val="Normal"/>
    <w:link w:val="Tablecaption"/>
    <w:rsid w:val="00841474"/>
    <w:pPr>
      <w:shd w:val="clear" w:color="auto" w:fill="FFFFFF"/>
      <w:spacing w:line="0" w:lineRule="atLeast"/>
    </w:pPr>
    <w:rPr>
      <w:rFonts w:ascii="Georgia" w:eastAsia="Georgia" w:hAnsi="Georgia" w:cs="Georgia"/>
      <w:spacing w:val="90"/>
      <w:sz w:val="28"/>
      <w:szCs w:val="28"/>
    </w:rPr>
  </w:style>
  <w:style w:type="paragraph" w:customStyle="1" w:styleId="Bodytext20">
    <w:name w:val="Body text (2)"/>
    <w:basedOn w:val="Normal"/>
    <w:link w:val="Bodytext2"/>
    <w:rsid w:val="00841474"/>
    <w:pPr>
      <w:shd w:val="clear" w:color="auto" w:fill="FFFFFF"/>
      <w:spacing w:line="0" w:lineRule="atLeast"/>
      <w:ind w:hanging="40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677</Words>
  <Characters>3862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2018-10-03T07:43:00Z</dcterms:created>
  <dcterms:modified xsi:type="dcterms:W3CDTF">2019-09-19T10:52:00Z</dcterms:modified>
</cp:coreProperties>
</file>