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12EA" w14:textId="77777777" w:rsidR="00E57D9D" w:rsidRPr="00AC2CFB" w:rsidRDefault="00AC2CFB" w:rsidP="008F126E">
      <w:pPr>
        <w:pStyle w:val="Bodytext5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C2CFB">
        <w:rPr>
          <w:rFonts w:ascii="Sylfaen" w:hAnsi="Sylfaen"/>
          <w:sz w:val="24"/>
          <w:szCs w:val="24"/>
        </w:rPr>
        <w:t>УТВЕРЖДЕН</w:t>
      </w:r>
    </w:p>
    <w:p w14:paraId="43A3614A" w14:textId="77777777" w:rsidR="00E57D9D" w:rsidRPr="00AC2CFB" w:rsidRDefault="00AC2CFB" w:rsidP="008F126E">
      <w:pPr>
        <w:pStyle w:val="Bodytext5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C2CFB">
        <w:rPr>
          <w:rFonts w:ascii="Sylfaen" w:hAnsi="Sylfaen"/>
          <w:sz w:val="24"/>
          <w:szCs w:val="24"/>
        </w:rPr>
        <w:t>Решением Совета</w:t>
      </w:r>
    </w:p>
    <w:p w14:paraId="6DD83C41" w14:textId="77777777" w:rsidR="00E57D9D" w:rsidRPr="00AC2CFB" w:rsidRDefault="00AC2CFB" w:rsidP="008F126E">
      <w:pPr>
        <w:pStyle w:val="Bodytext5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C2CFB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1B8C8ACB" w14:textId="77777777" w:rsidR="00E57D9D" w:rsidRPr="00AC2CFB" w:rsidRDefault="00AC2CFB" w:rsidP="008F126E">
      <w:pPr>
        <w:pStyle w:val="Bodytext5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C2CFB">
        <w:rPr>
          <w:rFonts w:ascii="Sylfaen" w:hAnsi="Sylfaen"/>
          <w:sz w:val="24"/>
          <w:szCs w:val="24"/>
        </w:rPr>
        <w:t>от 13 июля 2018 г. № 50</w:t>
      </w:r>
    </w:p>
    <w:p w14:paraId="79B546EA" w14:textId="77777777" w:rsidR="008F126E" w:rsidRDefault="008F126E" w:rsidP="008F126E">
      <w:pPr>
        <w:pStyle w:val="Bodytext40"/>
        <w:shd w:val="clear" w:color="auto" w:fill="auto"/>
        <w:spacing w:before="0" w:line="240" w:lineRule="auto"/>
        <w:ind w:right="-3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3A6E6F8D" w14:textId="77777777" w:rsidR="00E57D9D" w:rsidRPr="00AC2CFB" w:rsidRDefault="00AC2CFB" w:rsidP="008F126E">
      <w:pPr>
        <w:pStyle w:val="Bodytext40"/>
        <w:shd w:val="clear" w:color="auto" w:fill="auto"/>
        <w:spacing w:before="0" w:line="240" w:lineRule="auto"/>
        <w:ind w:left="1134" w:right="-30"/>
        <w:rPr>
          <w:rFonts w:ascii="Sylfaen" w:hAnsi="Sylfaen"/>
          <w:sz w:val="24"/>
          <w:szCs w:val="24"/>
        </w:rPr>
      </w:pPr>
      <w:r w:rsidRPr="00AC2CFB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ДЕТАЛИЗИРОВАННЫЙ ПЛАН НА 2018</w:t>
      </w:r>
      <w:r w:rsidRPr="00AC2CFB">
        <w:rPr>
          <w:rFonts w:ascii="Sylfaen" w:hAnsi="Sylfaen"/>
          <w:sz w:val="24"/>
          <w:szCs w:val="24"/>
        </w:rPr>
        <w:t xml:space="preserve"> </w:t>
      </w:r>
      <w:r w:rsidRPr="00AC2CFB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ГОД</w:t>
      </w:r>
    </w:p>
    <w:p w14:paraId="39BA4778" w14:textId="77777777" w:rsidR="00E57D9D" w:rsidRPr="00AC2CFB" w:rsidRDefault="00AC2CFB" w:rsidP="008F126E">
      <w:pPr>
        <w:pStyle w:val="Bodytext40"/>
        <w:shd w:val="clear" w:color="auto" w:fill="auto"/>
        <w:spacing w:before="0" w:line="240" w:lineRule="auto"/>
        <w:ind w:left="1134" w:right="-30"/>
        <w:rPr>
          <w:rFonts w:ascii="Sylfaen" w:hAnsi="Sylfaen"/>
          <w:sz w:val="24"/>
          <w:szCs w:val="24"/>
        </w:rPr>
      </w:pPr>
      <w:r w:rsidRPr="00AC2CFB">
        <w:rPr>
          <w:rFonts w:ascii="Sylfaen" w:hAnsi="Sylfaen"/>
          <w:sz w:val="24"/>
          <w:szCs w:val="24"/>
        </w:rPr>
        <w:t>по выполнению плана мероприятий по реализации Основных направлений</w:t>
      </w:r>
      <w:r>
        <w:rPr>
          <w:rFonts w:ascii="Sylfaen" w:hAnsi="Sylfaen"/>
          <w:sz w:val="24"/>
          <w:szCs w:val="24"/>
        </w:rPr>
        <w:t xml:space="preserve"> </w:t>
      </w:r>
      <w:r w:rsidRPr="00AC2CFB">
        <w:rPr>
          <w:rFonts w:ascii="Sylfaen" w:hAnsi="Sylfaen"/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</w:p>
    <w:p w14:paraId="3A5498DE" w14:textId="77777777" w:rsidR="00E57D9D" w:rsidRPr="00AC2CFB" w:rsidRDefault="00E57D9D" w:rsidP="008F126E">
      <w:pPr>
        <w:spacing w:after="120"/>
        <w:ind w:right="-30"/>
      </w:pPr>
    </w:p>
    <w:tbl>
      <w:tblPr>
        <w:tblOverlap w:val="never"/>
        <w:tblW w:w="145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9"/>
        <w:gridCol w:w="1991"/>
        <w:gridCol w:w="2038"/>
        <w:gridCol w:w="2376"/>
        <w:gridCol w:w="3280"/>
      </w:tblGrid>
      <w:tr w:rsidR="00E57D9D" w:rsidRPr="00AC2CFB" w14:paraId="4D327D60" w14:textId="77777777" w:rsidTr="00165341">
        <w:trPr>
          <w:tblHeader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9410F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1B011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перечня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мероприятий*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C714A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Срок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FA20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left="2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Ответственный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27A17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left="14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Планируемый результат</w:t>
            </w:r>
          </w:p>
        </w:tc>
      </w:tr>
      <w:tr w:rsidR="00E57D9D" w:rsidRPr="00AC2CFB" w14:paraId="48C93759" w14:textId="77777777" w:rsidTr="00165341">
        <w:trPr>
          <w:tblHeader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0AE7C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28006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629C3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D17E6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AA859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57D9D" w:rsidRPr="00AC2CFB" w14:paraId="121796A0" w14:textId="77777777" w:rsidTr="00165341">
        <w:trPr>
          <w:jc w:val="center"/>
        </w:trPr>
        <w:tc>
          <w:tcPr>
            <w:tcW w:w="1453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5D2314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 Развитие национальных механизмов «единого окна»</w:t>
            </w:r>
          </w:p>
        </w:tc>
      </w:tr>
      <w:tr w:rsidR="00E57D9D" w:rsidRPr="00AC2CFB" w14:paraId="3990C236" w14:textId="77777777" w:rsidTr="00165341">
        <w:trPr>
          <w:jc w:val="center"/>
        </w:trPr>
        <w:tc>
          <w:tcPr>
            <w:tcW w:w="4849" w:type="dxa"/>
            <w:shd w:val="clear" w:color="auto" w:fill="FFFFFF"/>
          </w:tcPr>
          <w:p w14:paraId="2DFA423B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1.1.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1991" w:type="dxa"/>
            <w:shd w:val="clear" w:color="auto" w:fill="FFFFFF"/>
          </w:tcPr>
          <w:p w14:paraId="74CB9D8F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1.6</w:t>
            </w:r>
          </w:p>
        </w:tc>
        <w:tc>
          <w:tcPr>
            <w:tcW w:w="2038" w:type="dxa"/>
            <w:shd w:val="clear" w:color="auto" w:fill="FFFFFF"/>
          </w:tcPr>
          <w:p w14:paraId="426865C5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A1502EB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Евразийская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экономическая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(далее -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Комиссия),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 -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члены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Евразийского экономического союза (далее соответственно - государства- члены, Союз)</w:t>
            </w:r>
          </w:p>
        </w:tc>
        <w:tc>
          <w:tcPr>
            <w:tcW w:w="3280" w:type="dxa"/>
            <w:shd w:val="clear" w:color="auto" w:fill="FFFFFF"/>
          </w:tcPr>
          <w:p w14:paraId="531DCEBB" w14:textId="77777777" w:rsidR="00E57D9D" w:rsidRPr="00AC2CFB" w:rsidRDefault="00AC2CFB" w:rsidP="008F126E">
            <w:pPr>
              <w:pStyle w:val="Bodytext20"/>
              <w:shd w:val="clear" w:color="auto" w:fill="auto"/>
              <w:spacing w:before="0" w:after="120" w:line="240" w:lineRule="auto"/>
              <w:ind w:left="14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165341" w:rsidRPr="00AC2CFB" w14:paraId="4E0D8B7E" w14:textId="77777777" w:rsidTr="00165341">
        <w:trPr>
          <w:jc w:val="center"/>
        </w:trPr>
        <w:tc>
          <w:tcPr>
            <w:tcW w:w="4849" w:type="dxa"/>
            <w:shd w:val="clear" w:color="auto" w:fill="FFFFFF"/>
          </w:tcPr>
          <w:p w14:paraId="01776923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left="14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1.2. Разработка, внедрение и оптимизация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5D091D2F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1.7</w:t>
            </w:r>
          </w:p>
        </w:tc>
        <w:tc>
          <w:tcPr>
            <w:tcW w:w="2038" w:type="dxa"/>
            <w:shd w:val="clear" w:color="auto" w:fill="FFFFFF"/>
          </w:tcPr>
          <w:p w14:paraId="41B17A21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50A71210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346CD3FE" w14:textId="77777777" w:rsidR="00165341" w:rsidRPr="00AC2CFB" w:rsidRDefault="00165341" w:rsidP="006676E3">
            <w:pPr>
              <w:spacing w:after="120"/>
              <w:ind w:right="-30"/>
            </w:pPr>
          </w:p>
        </w:tc>
      </w:tr>
      <w:tr w:rsidR="00165341" w:rsidRPr="00AC2CFB" w14:paraId="48A8D8A4" w14:textId="77777777" w:rsidTr="00165341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78AD40E7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1.2.1. Разработка (доработка) концепций развития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299FDFD8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55B3A1B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47D11971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3BC9D2CD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65341" w:rsidRPr="00AC2CFB" w14:paraId="1DE8C47E" w14:textId="77777777" w:rsidTr="00165341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108BE113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1.2.2. Подготовка (актуализация) планов мероприятий («дорожных карт») по созданию национальных механизмов «единого окна» с учетом актов органов Союза</w:t>
            </w:r>
          </w:p>
        </w:tc>
        <w:tc>
          <w:tcPr>
            <w:tcW w:w="1991" w:type="dxa"/>
            <w:shd w:val="clear" w:color="auto" w:fill="FFFFFF"/>
          </w:tcPr>
          <w:p w14:paraId="6146530B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61ECAF3A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500B22EE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5647DCA7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65341" w:rsidRPr="00AC2CFB" w14:paraId="2396507E" w14:textId="77777777" w:rsidTr="00165341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05C6D6BD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1.2.3. Реализация пилотных проектов, относящихся к элементам национального механизма «единого окна»</w:t>
            </w:r>
          </w:p>
        </w:tc>
        <w:tc>
          <w:tcPr>
            <w:tcW w:w="1991" w:type="dxa"/>
            <w:shd w:val="clear" w:color="auto" w:fill="FFFFFF"/>
          </w:tcPr>
          <w:p w14:paraId="3828D6A5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1BF4472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71B18E58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43AECA5E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65341" w:rsidRPr="00AC2CFB" w14:paraId="5EF096DD" w14:textId="77777777" w:rsidTr="00165341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14:paraId="589AAB2B" w14:textId="77777777" w:rsidR="00165341" w:rsidRPr="00264BCA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1.2.4. Анализ реализованных процедур взаимодействия заинтересованных лиц и государственных органов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сферах, определенных планом мероприятий по реализации Основных направлений развития механизма «единого окна»</w:t>
            </w:r>
            <w:r w:rsidR="00264BCA" w:rsidRPr="00264BCA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264BCA"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в системе регулирования внешнеэкономической деятельности, утвержденным </w:t>
            </w:r>
            <w:r w:rsidR="00264BCA"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Решением Высшего Евразийского экономического совета от 8 мая 2015 г. № 19 (далее - план мероприятий), на основе опросника, разработанного Комиссией</w:t>
            </w:r>
          </w:p>
        </w:tc>
        <w:tc>
          <w:tcPr>
            <w:tcW w:w="1991" w:type="dxa"/>
            <w:shd w:val="clear" w:color="auto" w:fill="FFFFFF"/>
          </w:tcPr>
          <w:p w14:paraId="40A56FB5" w14:textId="77777777" w:rsidR="00165341" w:rsidRPr="00AC2CFB" w:rsidRDefault="00165341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25BB397D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август</w:t>
            </w:r>
          </w:p>
        </w:tc>
        <w:tc>
          <w:tcPr>
            <w:tcW w:w="2376" w:type="dxa"/>
            <w:shd w:val="clear" w:color="auto" w:fill="FFFFFF"/>
          </w:tcPr>
          <w:p w14:paraId="1A9935DF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02B46E1A" w14:textId="77777777" w:rsidR="00165341" w:rsidRPr="00AC2CFB" w:rsidRDefault="00165341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264BCA" w:rsidRPr="00AC2CFB" w14:paraId="1F8693F3" w14:textId="77777777" w:rsidTr="00237FE1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14:paraId="4ED877B3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1.2.5. Выработка подходов по формированию электронной (цифровой) таможни</w:t>
            </w:r>
          </w:p>
        </w:tc>
        <w:tc>
          <w:tcPr>
            <w:tcW w:w="1991" w:type="dxa"/>
            <w:shd w:val="clear" w:color="auto" w:fill="FFFFFF"/>
          </w:tcPr>
          <w:p w14:paraId="6174EF95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5E181400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CC41AEA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  <w:vAlign w:val="center"/>
          </w:tcPr>
          <w:p w14:paraId="6A4977D2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64BCA" w:rsidRPr="00AC2CFB" w14:paraId="7126EE85" w14:textId="77777777" w:rsidTr="00237FE1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08E690E5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1.2.6. Развитие электронного документооборота в морских пунктах пропуска государств- членов</w:t>
            </w:r>
          </w:p>
        </w:tc>
        <w:tc>
          <w:tcPr>
            <w:tcW w:w="1991" w:type="dxa"/>
            <w:shd w:val="clear" w:color="auto" w:fill="FFFFFF"/>
          </w:tcPr>
          <w:p w14:paraId="10515CD6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C6347B3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shd w:val="clear" w:color="auto" w:fill="FFFFFF"/>
          </w:tcPr>
          <w:p w14:paraId="27C25C38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6658A10A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 (концепция)</w:t>
            </w:r>
          </w:p>
        </w:tc>
      </w:tr>
      <w:tr w:rsidR="00264BCA" w:rsidRPr="00AC2CFB" w14:paraId="006A0F4D" w14:textId="77777777" w:rsidTr="00237FE1">
        <w:trPr>
          <w:jc w:val="center"/>
        </w:trPr>
        <w:tc>
          <w:tcPr>
            <w:tcW w:w="4849" w:type="dxa"/>
            <w:shd w:val="clear" w:color="auto" w:fill="FFFFFF"/>
          </w:tcPr>
          <w:p w14:paraId="7D99681D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1.2.7. Анализ развития электронного документооборота в воздушных пунктах пропуска государств-членов и подготовка заключения</w:t>
            </w:r>
          </w:p>
        </w:tc>
        <w:tc>
          <w:tcPr>
            <w:tcW w:w="1991" w:type="dxa"/>
            <w:shd w:val="clear" w:color="auto" w:fill="FFFFFF"/>
          </w:tcPr>
          <w:p w14:paraId="013C0DDC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7EC64FE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shd w:val="clear" w:color="auto" w:fill="FFFFFF"/>
          </w:tcPr>
          <w:p w14:paraId="42EB6DB1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5CDC099F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аналитические материалы, проект заключения</w:t>
            </w:r>
          </w:p>
        </w:tc>
      </w:tr>
      <w:tr w:rsidR="00264BCA" w:rsidRPr="00AC2CFB" w14:paraId="2A927B60" w14:textId="77777777" w:rsidTr="00237FE1">
        <w:trPr>
          <w:jc w:val="center"/>
        </w:trPr>
        <w:tc>
          <w:tcPr>
            <w:tcW w:w="4849" w:type="dxa"/>
            <w:shd w:val="clear" w:color="auto" w:fill="FFFFFF"/>
          </w:tcPr>
          <w:p w14:paraId="7FD9BE15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1.2.8. Анализ развития электронного документооборота в железнодорожных пунктах пропуска государств-членов и подготовка заключения</w:t>
            </w:r>
          </w:p>
        </w:tc>
        <w:tc>
          <w:tcPr>
            <w:tcW w:w="1991" w:type="dxa"/>
            <w:shd w:val="clear" w:color="auto" w:fill="FFFFFF"/>
          </w:tcPr>
          <w:p w14:paraId="5F5E25E9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39E154A8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shd w:val="clear" w:color="auto" w:fill="FFFFFF"/>
          </w:tcPr>
          <w:p w14:paraId="147971EC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121429C1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аналитические материалы, проект заключения</w:t>
            </w:r>
          </w:p>
        </w:tc>
      </w:tr>
      <w:tr w:rsidR="00264BCA" w:rsidRPr="00AC2CFB" w14:paraId="529641E1" w14:textId="77777777" w:rsidTr="003B39A6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14:paraId="5093D66F" w14:textId="77777777" w:rsidR="00264BCA" w:rsidRPr="00AC2CFB" w:rsidRDefault="00264BCA" w:rsidP="00264BCA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2. Сближение подходов по развитию национальных механизмов «единого окна»</w:t>
            </w:r>
          </w:p>
        </w:tc>
      </w:tr>
      <w:tr w:rsidR="00264BCA" w:rsidRPr="00AC2CFB" w14:paraId="00EC2656" w14:textId="77777777" w:rsidTr="00AF34AE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696A419B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2.1. Определение приоритетных направлений сближения подходов по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развитию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2C63D497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пункт 2.1</w:t>
            </w:r>
          </w:p>
        </w:tc>
        <w:tc>
          <w:tcPr>
            <w:tcW w:w="2038" w:type="dxa"/>
            <w:shd w:val="clear" w:color="auto" w:fill="FFFFFF"/>
          </w:tcPr>
          <w:p w14:paraId="0CDF734F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735757FE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78D7913F" w14:textId="77777777" w:rsidR="00264BCA" w:rsidRPr="00AC2CFB" w:rsidRDefault="00264BCA" w:rsidP="006676E3">
            <w:pPr>
              <w:spacing w:after="120"/>
              <w:ind w:right="-30"/>
            </w:pPr>
          </w:p>
        </w:tc>
      </w:tr>
      <w:tr w:rsidR="00264BCA" w:rsidRPr="00AC2CFB" w14:paraId="3880BB9D" w14:textId="77777777" w:rsidTr="00AF34AE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7E875BDF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2.1.1. Формирование перечня инструментов (регламентов, стандартов), направленных на внедрение эталонной модели национального механизма «единого окна»</w:t>
            </w:r>
          </w:p>
        </w:tc>
        <w:tc>
          <w:tcPr>
            <w:tcW w:w="1991" w:type="dxa"/>
            <w:shd w:val="clear" w:color="auto" w:fill="FFFFFF"/>
          </w:tcPr>
          <w:p w14:paraId="29DC87C7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0C51B5C9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shd w:val="clear" w:color="auto" w:fill="FFFFFF"/>
          </w:tcPr>
          <w:p w14:paraId="35B7A75A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619BFE89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рекомендации Комиссии</w:t>
            </w:r>
          </w:p>
        </w:tc>
      </w:tr>
      <w:tr w:rsidR="00264BCA" w:rsidRPr="00AC2CFB" w14:paraId="7B428FB7" w14:textId="77777777" w:rsidTr="00AF34AE">
        <w:trPr>
          <w:jc w:val="center"/>
        </w:trPr>
        <w:tc>
          <w:tcPr>
            <w:tcW w:w="4849" w:type="dxa"/>
            <w:shd w:val="clear" w:color="auto" w:fill="FFFFFF"/>
          </w:tcPr>
          <w:p w14:paraId="3DAA5AD0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2.1.2. Разработка единых подходов по оптимизации бизнес- процессов</w:t>
            </w:r>
          </w:p>
        </w:tc>
        <w:tc>
          <w:tcPr>
            <w:tcW w:w="1991" w:type="dxa"/>
            <w:shd w:val="clear" w:color="auto" w:fill="FFFFFF"/>
          </w:tcPr>
          <w:p w14:paraId="4B6AC32A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59CE07C9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shd w:val="clear" w:color="auto" w:fill="FFFFFF"/>
          </w:tcPr>
          <w:p w14:paraId="500D8894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323D7873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аналитические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материалы</w:t>
            </w:r>
          </w:p>
        </w:tc>
      </w:tr>
      <w:tr w:rsidR="00264BCA" w:rsidRPr="00AC2CFB" w14:paraId="167F79A2" w14:textId="77777777" w:rsidTr="00547D98">
        <w:trPr>
          <w:jc w:val="center"/>
        </w:trPr>
        <w:tc>
          <w:tcPr>
            <w:tcW w:w="14534" w:type="dxa"/>
            <w:gridSpan w:val="5"/>
            <w:shd w:val="clear" w:color="auto" w:fill="FFFFFF"/>
            <w:vAlign w:val="bottom"/>
          </w:tcPr>
          <w:p w14:paraId="43906BAC" w14:textId="77777777" w:rsidR="00264BCA" w:rsidRPr="00AC2CFB" w:rsidRDefault="00264BCA" w:rsidP="00264BCA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 w:rsidR="00264BCA" w:rsidRPr="00AC2CFB" w14:paraId="392253E9" w14:textId="77777777" w:rsidTr="00F3605C">
        <w:trPr>
          <w:jc w:val="center"/>
        </w:trPr>
        <w:tc>
          <w:tcPr>
            <w:tcW w:w="4849" w:type="dxa"/>
            <w:shd w:val="clear" w:color="auto" w:fill="FFFFFF"/>
          </w:tcPr>
          <w:p w14:paraId="3369EEA7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3.1.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территориях государств-членов, в целях их взаимного признания</w:t>
            </w:r>
          </w:p>
        </w:tc>
        <w:tc>
          <w:tcPr>
            <w:tcW w:w="1991" w:type="dxa"/>
            <w:shd w:val="clear" w:color="auto" w:fill="FFFFFF"/>
          </w:tcPr>
          <w:p w14:paraId="01F55C5B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3.2</w:t>
            </w:r>
          </w:p>
        </w:tc>
        <w:tc>
          <w:tcPr>
            <w:tcW w:w="2038" w:type="dxa"/>
            <w:shd w:val="clear" w:color="auto" w:fill="FFFFFF"/>
          </w:tcPr>
          <w:p w14:paraId="3CE4C0D0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2EC5B66B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71F402F5" w14:textId="77777777" w:rsidR="00264BCA" w:rsidRPr="00AC2CFB" w:rsidRDefault="00264BCA" w:rsidP="006676E3">
            <w:pPr>
              <w:spacing w:after="120"/>
              <w:ind w:right="-30"/>
            </w:pPr>
          </w:p>
        </w:tc>
      </w:tr>
      <w:tr w:rsidR="00264BCA" w:rsidRPr="00AC2CFB" w14:paraId="529B4A6F" w14:textId="77777777" w:rsidTr="00F3605C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74F9E27D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3.1.1. Проведение работ по дальнейшему развитию модели данных Союза в целях обеспечения гармонизации сведений, необходимых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для осуществления внешнеэкономической деятельности</w:t>
            </w:r>
          </w:p>
        </w:tc>
        <w:tc>
          <w:tcPr>
            <w:tcW w:w="1991" w:type="dxa"/>
            <w:shd w:val="clear" w:color="auto" w:fill="FFFFFF"/>
          </w:tcPr>
          <w:p w14:paraId="3172D53D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D6B5A82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3A7BDC6F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3CC4526F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264BCA" w:rsidRPr="00AC2CFB" w14:paraId="396FCB27" w14:textId="77777777" w:rsidTr="00F3605C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14:paraId="2A83638F" w14:textId="77777777" w:rsidR="00264BCA" w:rsidRPr="00F23837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3.1.2. Разработка унифицированных требований к электронному виду документов (электронным документам), их структурам и форматам в электронном виде,</w:t>
            </w:r>
            <w:r w:rsidR="00F23837" w:rsidRPr="00F23837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применяемых и взаимно признаваемых в государствах- членах, для процедур 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F23837" w:rsidRPr="00AC2CFB">
              <w:rPr>
                <w:rStyle w:val="Bodytext214pt"/>
                <w:rFonts w:ascii="Sylfaen" w:hAnsi="Sylfaen"/>
                <w:sz w:val="24"/>
                <w:szCs w:val="24"/>
              </w:rPr>
              <w:t>установленных перечнем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- членов Евразийского экономического союза в рамках функционирования национальных механизмов «единого окна», утвержденным Решением Коллегии Евразийской экономической комиссии от 22 декабря 2015 г. № 171 (далее - перечень)</w:t>
            </w:r>
          </w:p>
        </w:tc>
        <w:tc>
          <w:tcPr>
            <w:tcW w:w="1991" w:type="dxa"/>
            <w:shd w:val="clear" w:color="auto" w:fill="FFFFFF"/>
          </w:tcPr>
          <w:p w14:paraId="0D8F399F" w14:textId="77777777" w:rsidR="00264BCA" w:rsidRPr="00AC2CFB" w:rsidRDefault="00264BCA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4AA245FA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4E637105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57F3A78E" w14:textId="77777777" w:rsidR="00264BCA" w:rsidRPr="00AC2CFB" w:rsidRDefault="00264BCA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F23837" w:rsidRPr="00AC2CFB" w14:paraId="0216CC45" w14:textId="77777777" w:rsidTr="00D74B8E">
        <w:trPr>
          <w:jc w:val="center"/>
        </w:trPr>
        <w:tc>
          <w:tcPr>
            <w:tcW w:w="4849" w:type="dxa"/>
            <w:shd w:val="clear" w:color="auto" w:fill="FFFFFF"/>
          </w:tcPr>
          <w:p w14:paraId="10D16579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3.2. Использование сведений из документов, необходимых для осуществления внешнеэкономической деятельности на территориях государств-членов, выданных уполномоченными органами государств, не являющихся членами Союза</w:t>
            </w:r>
          </w:p>
        </w:tc>
        <w:tc>
          <w:tcPr>
            <w:tcW w:w="1991" w:type="dxa"/>
            <w:shd w:val="clear" w:color="auto" w:fill="FFFFFF"/>
          </w:tcPr>
          <w:p w14:paraId="4C2E7F50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3.4</w:t>
            </w:r>
          </w:p>
        </w:tc>
        <w:tc>
          <w:tcPr>
            <w:tcW w:w="2038" w:type="dxa"/>
            <w:shd w:val="clear" w:color="auto" w:fill="FFFFFF"/>
          </w:tcPr>
          <w:p w14:paraId="2ED70E49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0B4BC16B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7447D081" w14:textId="77777777" w:rsidR="00F23837" w:rsidRPr="00AC2CFB" w:rsidRDefault="00F23837" w:rsidP="006676E3">
            <w:pPr>
              <w:spacing w:after="120"/>
              <w:ind w:right="-30"/>
            </w:pPr>
          </w:p>
        </w:tc>
      </w:tr>
      <w:tr w:rsidR="00F23837" w:rsidRPr="00AC2CFB" w14:paraId="58B1F207" w14:textId="77777777" w:rsidTr="00D74B8E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14:paraId="3FA719A8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3.2.1. Создание правовой основы для функционирования электронной системы сертификации и верификации происхождения товаров между государствами-членами и Социалистической Республикой Вьетнам</w:t>
            </w:r>
          </w:p>
        </w:tc>
        <w:tc>
          <w:tcPr>
            <w:tcW w:w="1991" w:type="dxa"/>
            <w:shd w:val="clear" w:color="auto" w:fill="FFFFFF"/>
          </w:tcPr>
          <w:p w14:paraId="08900A6B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8EC60D2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3F4B29BD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418CFC25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соглашения</w:t>
            </w:r>
          </w:p>
        </w:tc>
      </w:tr>
      <w:tr w:rsidR="00F23837" w:rsidRPr="00AC2CFB" w14:paraId="727879C4" w14:textId="77777777" w:rsidTr="00D74B8E">
        <w:trPr>
          <w:jc w:val="center"/>
        </w:trPr>
        <w:tc>
          <w:tcPr>
            <w:tcW w:w="4849" w:type="dxa"/>
            <w:shd w:val="clear" w:color="auto" w:fill="FFFFFF"/>
          </w:tcPr>
          <w:p w14:paraId="3D9EE789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3.3. Обеспечение уникальной идентификации субъектов внешнеэкономической деятельности</w:t>
            </w:r>
          </w:p>
        </w:tc>
        <w:tc>
          <w:tcPr>
            <w:tcW w:w="1991" w:type="dxa"/>
            <w:shd w:val="clear" w:color="auto" w:fill="FFFFFF"/>
          </w:tcPr>
          <w:p w14:paraId="14254951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3.5</w:t>
            </w:r>
          </w:p>
        </w:tc>
        <w:tc>
          <w:tcPr>
            <w:tcW w:w="2038" w:type="dxa"/>
            <w:shd w:val="clear" w:color="auto" w:fill="FFFFFF"/>
          </w:tcPr>
          <w:p w14:paraId="757A5408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70F6AC2B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4237D1CD" w14:textId="77777777" w:rsidR="00F23837" w:rsidRPr="00AC2CFB" w:rsidRDefault="00F23837" w:rsidP="006676E3">
            <w:pPr>
              <w:spacing w:after="120"/>
              <w:ind w:right="-30"/>
            </w:pPr>
          </w:p>
        </w:tc>
      </w:tr>
      <w:tr w:rsidR="00F23837" w:rsidRPr="00AC2CFB" w14:paraId="119BCB81" w14:textId="77777777" w:rsidTr="00D74B8E">
        <w:trPr>
          <w:jc w:val="center"/>
        </w:trPr>
        <w:tc>
          <w:tcPr>
            <w:tcW w:w="4849" w:type="dxa"/>
            <w:shd w:val="clear" w:color="auto" w:fill="FFFFFF"/>
          </w:tcPr>
          <w:p w14:paraId="12E43B4F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3.3.1. Выполнение работ по созданию единой системы идентификации участников внешнеэкономической деятельности</w:t>
            </w:r>
          </w:p>
        </w:tc>
        <w:tc>
          <w:tcPr>
            <w:tcW w:w="1991" w:type="dxa"/>
            <w:shd w:val="clear" w:color="auto" w:fill="FFFFFF"/>
          </w:tcPr>
          <w:p w14:paraId="58C3F6C7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0DF0928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август</w:t>
            </w:r>
          </w:p>
        </w:tc>
        <w:tc>
          <w:tcPr>
            <w:tcW w:w="2376" w:type="dxa"/>
            <w:shd w:val="clear" w:color="auto" w:fill="FFFFFF"/>
          </w:tcPr>
          <w:p w14:paraId="376F2DB5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3F393B11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рассмотрение на Совете Комиссии проекта соглашения (с возможными замечаниями государств-членов)</w:t>
            </w:r>
          </w:p>
        </w:tc>
      </w:tr>
      <w:tr w:rsidR="00F23837" w:rsidRPr="00AC2CFB" w14:paraId="028038E8" w14:textId="77777777" w:rsidTr="001D3A1A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14:paraId="20DABC8D" w14:textId="77777777" w:rsidR="00F23837" w:rsidRPr="00AC2CFB" w:rsidRDefault="00F23837" w:rsidP="00F23837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 Организация информационного взаимодействия</w:t>
            </w:r>
          </w:p>
        </w:tc>
      </w:tr>
      <w:tr w:rsidR="00F23837" w:rsidRPr="00AC2CFB" w14:paraId="48650BC8" w14:textId="77777777" w:rsidTr="00361E8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0C13BAEE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4.1. Унификация процедур взаимодействия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 xml:space="preserve">заинтересованных лиц и государственных органов в рамках национальных механизмов «единого окна»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991" w:type="dxa"/>
            <w:shd w:val="clear" w:color="auto" w:fill="FFFFFF"/>
          </w:tcPr>
          <w:p w14:paraId="6BF6FB1A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пункт 4.1</w:t>
            </w:r>
          </w:p>
        </w:tc>
        <w:tc>
          <w:tcPr>
            <w:tcW w:w="2038" w:type="dxa"/>
            <w:shd w:val="clear" w:color="auto" w:fill="FFFFFF"/>
          </w:tcPr>
          <w:p w14:paraId="7D0BFF94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5058DE74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7C5AF48F" w14:textId="77777777" w:rsidR="00F23837" w:rsidRPr="00AC2CFB" w:rsidRDefault="00F23837" w:rsidP="006676E3">
            <w:pPr>
              <w:spacing w:after="120"/>
              <w:ind w:right="-30"/>
            </w:pPr>
          </w:p>
        </w:tc>
      </w:tr>
      <w:tr w:rsidR="00F23837" w:rsidRPr="00AC2CFB" w14:paraId="7FE3A0A0" w14:textId="77777777" w:rsidTr="00361E8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6781DEFB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4.1.1. Разработка методических рекомендаций по формированию требований к интерфейсам взаимодействия при предоставлении услуг государственными органами или уполномоченными организациями для процедур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установленных перечнем</w:t>
            </w:r>
          </w:p>
        </w:tc>
        <w:tc>
          <w:tcPr>
            <w:tcW w:w="1991" w:type="dxa"/>
            <w:shd w:val="clear" w:color="auto" w:fill="FFFFFF"/>
          </w:tcPr>
          <w:p w14:paraId="7C542F87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44B040E8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38B6EFA7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5D14BEAB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F23837" w:rsidRPr="00AC2CFB" w14:paraId="3069595A" w14:textId="77777777" w:rsidTr="00361E8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5A9619A7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4.1.2. Унификация процедуры получения перевозчиками допуска к осуществлению международных перевозок грузов автомобильным транспортом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991" w:type="dxa"/>
            <w:shd w:val="clear" w:color="auto" w:fill="FFFFFF"/>
          </w:tcPr>
          <w:p w14:paraId="4B62FB80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2F57438E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shd w:val="clear" w:color="auto" w:fill="FFFFFF"/>
          </w:tcPr>
          <w:p w14:paraId="41C76133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18E8A75D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заключения</w:t>
            </w:r>
          </w:p>
        </w:tc>
      </w:tr>
      <w:tr w:rsidR="00F23837" w:rsidRPr="00AC2CFB" w14:paraId="2A8033A6" w14:textId="77777777" w:rsidTr="00361E8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54959EDF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4.2. Оптимизация процедур межведомственного информационного взаимодействия в рамках национальных механизмов «единого окна»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991" w:type="dxa"/>
            <w:shd w:val="clear" w:color="auto" w:fill="FFFFFF"/>
          </w:tcPr>
          <w:p w14:paraId="0AFCAE4D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4.2</w:t>
            </w:r>
          </w:p>
        </w:tc>
        <w:tc>
          <w:tcPr>
            <w:tcW w:w="2038" w:type="dxa"/>
            <w:shd w:val="clear" w:color="auto" w:fill="FFFFFF"/>
          </w:tcPr>
          <w:p w14:paraId="1AB778EC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0BA6AB03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13FB4B30" w14:textId="77777777" w:rsidR="00F23837" w:rsidRPr="00AC2CFB" w:rsidRDefault="00F23837" w:rsidP="006676E3">
            <w:pPr>
              <w:spacing w:after="120"/>
              <w:ind w:right="-30"/>
            </w:pPr>
          </w:p>
        </w:tc>
      </w:tr>
      <w:tr w:rsidR="00F23837" w:rsidRPr="00AC2CFB" w14:paraId="071C4A89" w14:textId="77777777" w:rsidTr="00CC7931">
        <w:trPr>
          <w:jc w:val="center"/>
        </w:trPr>
        <w:tc>
          <w:tcPr>
            <w:tcW w:w="4849" w:type="dxa"/>
            <w:shd w:val="clear" w:color="auto" w:fill="FFFFFF"/>
          </w:tcPr>
          <w:p w14:paraId="134A3E86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4.2.1. Формирование предложений по внесению изменений в технологические документы,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регламентирующие общие процессы в рамках Союза, с учетом необходимости реализации отдельных мероприятий, направленных на создание национального механизма «единого окна»</w:t>
            </w:r>
          </w:p>
        </w:tc>
        <w:tc>
          <w:tcPr>
            <w:tcW w:w="1991" w:type="dxa"/>
            <w:shd w:val="clear" w:color="auto" w:fill="FFFFFF"/>
          </w:tcPr>
          <w:p w14:paraId="224D5EA4" w14:textId="77777777" w:rsidR="00F23837" w:rsidRPr="00AC2CFB" w:rsidRDefault="00F23837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0D3489C1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июнь</w:t>
            </w:r>
          </w:p>
        </w:tc>
        <w:tc>
          <w:tcPr>
            <w:tcW w:w="2376" w:type="dxa"/>
            <w:shd w:val="clear" w:color="auto" w:fill="FFFFFF"/>
          </w:tcPr>
          <w:p w14:paraId="3395723A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80" w:type="dxa"/>
            <w:shd w:val="clear" w:color="auto" w:fill="FFFFFF"/>
          </w:tcPr>
          <w:p w14:paraId="074BEEFE" w14:textId="77777777" w:rsidR="00F23837" w:rsidRPr="00AC2CFB" w:rsidRDefault="00F23837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E122F0" w:rsidRPr="00AC2CFB" w14:paraId="7F68E598" w14:textId="77777777" w:rsidTr="00CC7931">
        <w:trPr>
          <w:jc w:val="center"/>
        </w:trPr>
        <w:tc>
          <w:tcPr>
            <w:tcW w:w="4849" w:type="dxa"/>
            <w:shd w:val="clear" w:color="auto" w:fill="FFFFFF"/>
          </w:tcPr>
          <w:p w14:paraId="63642F73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157D4C23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4.3</w:t>
            </w:r>
          </w:p>
        </w:tc>
        <w:tc>
          <w:tcPr>
            <w:tcW w:w="2038" w:type="dxa"/>
            <w:shd w:val="clear" w:color="auto" w:fill="FFFFFF"/>
          </w:tcPr>
          <w:p w14:paraId="02DE89C6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2E58271B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06E0F6CE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4339518B" w14:textId="77777777" w:rsidTr="0064088F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763CF13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4.3.1. Подготовка предложений по актуализации перечня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1AFF2566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494A801D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4A21AC0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08D0898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122F0" w:rsidRPr="00AC2CFB" w14:paraId="768B0FDF" w14:textId="77777777" w:rsidTr="0064088F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08FA163E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4.3.2.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7D340CB4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50D860D5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1807A692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788DE4AF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122F0" w:rsidRPr="00AC2CFB" w14:paraId="3C482F48" w14:textId="77777777" w:rsidTr="0064088F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4FECD96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4.3.3. Реализация общих процессов в рамках Союза, задействованных в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обеспечении функционирования национальных механизмов «единого окна» в интеграционном сегменте Комиссии интегрированной информационной системы Союза</w:t>
            </w:r>
          </w:p>
        </w:tc>
        <w:tc>
          <w:tcPr>
            <w:tcW w:w="1991" w:type="dxa"/>
            <w:shd w:val="clear" w:color="auto" w:fill="FFFFFF"/>
          </w:tcPr>
          <w:p w14:paraId="4C5DBE01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434F07ED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49EFE79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80" w:type="dxa"/>
            <w:shd w:val="clear" w:color="auto" w:fill="FFFFFF"/>
          </w:tcPr>
          <w:p w14:paraId="1394533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отчет и техническая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документация</w:t>
            </w:r>
          </w:p>
        </w:tc>
      </w:tr>
      <w:tr w:rsidR="00E122F0" w:rsidRPr="00AC2CFB" w14:paraId="2F5E9B27" w14:textId="77777777" w:rsidTr="0064088F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384AA4A3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4.3.4. Реализация общих процессов в рамках Союза, задействованных в обеспечении функционирования национальных механизмов «единого окна» 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1991" w:type="dxa"/>
            <w:shd w:val="clear" w:color="auto" w:fill="FFFFFF"/>
          </w:tcPr>
          <w:p w14:paraId="229AE5FF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2B7626E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6EBE44E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1466307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E122F0" w:rsidRPr="00AC2CFB" w14:paraId="6FD7B0C8" w14:textId="77777777" w:rsidTr="00A96458">
        <w:trPr>
          <w:jc w:val="center"/>
        </w:trPr>
        <w:tc>
          <w:tcPr>
            <w:tcW w:w="4849" w:type="dxa"/>
            <w:shd w:val="clear" w:color="auto" w:fill="FFFFFF"/>
          </w:tcPr>
          <w:p w14:paraId="5B72F10C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4.4. Упрощение процедур использования заинтересованными лицами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639636F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4.4</w:t>
            </w:r>
          </w:p>
        </w:tc>
        <w:tc>
          <w:tcPr>
            <w:tcW w:w="2038" w:type="dxa"/>
            <w:shd w:val="clear" w:color="auto" w:fill="FFFFFF"/>
          </w:tcPr>
          <w:p w14:paraId="14C6B6BC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265D1574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5C0CBDBC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4B271610" w14:textId="77777777" w:rsidTr="00A96458">
        <w:trPr>
          <w:jc w:val="center"/>
        </w:trPr>
        <w:tc>
          <w:tcPr>
            <w:tcW w:w="4849" w:type="dxa"/>
            <w:shd w:val="clear" w:color="auto" w:fill="FFFFFF"/>
          </w:tcPr>
          <w:p w14:paraId="40A5E08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4.4.1. Исследование процессов и процедур взаимодействия между хозяйствующими субъектами (В2В) во внешнеэкономической деятельности</w:t>
            </w:r>
          </w:p>
        </w:tc>
        <w:tc>
          <w:tcPr>
            <w:tcW w:w="1991" w:type="dxa"/>
            <w:shd w:val="clear" w:color="auto" w:fill="FFFFFF"/>
          </w:tcPr>
          <w:p w14:paraId="36A3FFF3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4C9EE3BF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shd w:val="clear" w:color="auto" w:fill="FFFFFF"/>
          </w:tcPr>
          <w:p w14:paraId="0693E165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723A8C59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122F0" w:rsidRPr="00AC2CFB" w14:paraId="4CC2B9BA" w14:textId="77777777" w:rsidTr="00A96458">
        <w:trPr>
          <w:jc w:val="center"/>
        </w:trPr>
        <w:tc>
          <w:tcPr>
            <w:tcW w:w="4849" w:type="dxa"/>
            <w:shd w:val="clear" w:color="auto" w:fill="FFFFFF"/>
          </w:tcPr>
          <w:p w14:paraId="358634A9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4.4.2. Формирование каталога унифицированных процедур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 xml:space="preserve">в электронном виде с целью обеспечения равных условий для заинтересованных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 xml:space="preserve">лиц при получении и использовании информации об унифицированных процедурах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1991" w:type="dxa"/>
            <w:shd w:val="clear" w:color="auto" w:fill="FFFFFF"/>
          </w:tcPr>
          <w:p w14:paraId="789F10DB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09569D1E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5AD64F9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6AB8C0A0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122F0" w:rsidRPr="00AC2CFB" w14:paraId="47397937" w14:textId="77777777" w:rsidTr="00A96458">
        <w:trPr>
          <w:jc w:val="center"/>
        </w:trPr>
        <w:tc>
          <w:tcPr>
            <w:tcW w:w="4849" w:type="dxa"/>
            <w:shd w:val="clear" w:color="auto" w:fill="FFFFFF"/>
          </w:tcPr>
          <w:p w14:paraId="655BFB38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1991" w:type="dxa"/>
            <w:shd w:val="clear" w:color="auto" w:fill="FFFFFF"/>
          </w:tcPr>
          <w:p w14:paraId="14C18DB4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4.5</w:t>
            </w:r>
          </w:p>
        </w:tc>
        <w:tc>
          <w:tcPr>
            <w:tcW w:w="2038" w:type="dxa"/>
            <w:shd w:val="clear" w:color="auto" w:fill="FFFFFF"/>
          </w:tcPr>
          <w:p w14:paraId="6065FD9E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43BF7E53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245E0D85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1B029137" w14:textId="77777777" w:rsidTr="00A96458">
        <w:trPr>
          <w:jc w:val="center"/>
        </w:trPr>
        <w:tc>
          <w:tcPr>
            <w:tcW w:w="4849" w:type="dxa"/>
            <w:shd w:val="clear" w:color="auto" w:fill="FFFFFF"/>
          </w:tcPr>
          <w:p w14:paraId="02EBFAE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4.5.1. Формирование справочников и классификаторов для включения в состав единой системы нормативно-справочной информации Союза</w:t>
            </w:r>
          </w:p>
        </w:tc>
        <w:tc>
          <w:tcPr>
            <w:tcW w:w="1991" w:type="dxa"/>
            <w:shd w:val="clear" w:color="auto" w:fill="FFFFFF"/>
          </w:tcPr>
          <w:p w14:paraId="3205A4DF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D92CBE5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23A4C23F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02BCAB4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E122F0" w:rsidRPr="00AC2CFB" w14:paraId="5981F54B" w14:textId="77777777" w:rsidTr="00085C92">
        <w:trPr>
          <w:jc w:val="center"/>
        </w:trPr>
        <w:tc>
          <w:tcPr>
            <w:tcW w:w="14534" w:type="dxa"/>
            <w:gridSpan w:val="5"/>
            <w:shd w:val="clear" w:color="auto" w:fill="FFFFFF"/>
            <w:vAlign w:val="bottom"/>
          </w:tcPr>
          <w:p w14:paraId="4C89B217" w14:textId="77777777" w:rsidR="00E122F0" w:rsidRPr="00AC2CFB" w:rsidRDefault="00E122F0" w:rsidP="00E122F0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E122F0" w:rsidRPr="00AC2CFB" w14:paraId="7C8DB146" w14:textId="77777777" w:rsidTr="00BE5673">
        <w:trPr>
          <w:jc w:val="center"/>
        </w:trPr>
        <w:tc>
          <w:tcPr>
            <w:tcW w:w="4849" w:type="dxa"/>
            <w:shd w:val="clear" w:color="auto" w:fill="FFFFFF"/>
          </w:tcPr>
          <w:p w14:paraId="69AC2F63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5.1. Ведение (актуализация) глоссария терминов, используемых при реализации Основных направлений развития механизма «единого окна» в системе регулирования внешнеэкономической деятельности, одобренных Решением Высшего Евразийского экономического совета</w:t>
            </w:r>
            <w:r w:rsidRPr="00E122F0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 29 мая 2014 г. № 68</w:t>
            </w:r>
            <w:r w:rsidRPr="00E122F0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(далее - Основные направления)</w:t>
            </w:r>
          </w:p>
        </w:tc>
        <w:tc>
          <w:tcPr>
            <w:tcW w:w="1991" w:type="dxa"/>
            <w:shd w:val="clear" w:color="auto" w:fill="FFFFFF"/>
          </w:tcPr>
          <w:p w14:paraId="0DA2CD72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5.2</w:t>
            </w:r>
          </w:p>
        </w:tc>
        <w:tc>
          <w:tcPr>
            <w:tcW w:w="2038" w:type="dxa"/>
            <w:shd w:val="clear" w:color="auto" w:fill="FFFFFF"/>
          </w:tcPr>
          <w:p w14:paraId="39B05825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3D325317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4EAA766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предложения в глоссарий</w:t>
            </w:r>
          </w:p>
        </w:tc>
      </w:tr>
      <w:tr w:rsidR="00E122F0" w:rsidRPr="00AC2CFB" w14:paraId="6188044B" w14:textId="77777777" w:rsidTr="00FA4084">
        <w:trPr>
          <w:jc w:val="center"/>
        </w:trPr>
        <w:tc>
          <w:tcPr>
            <w:tcW w:w="14534" w:type="dxa"/>
            <w:gridSpan w:val="5"/>
            <w:shd w:val="clear" w:color="auto" w:fill="FFFFFF"/>
            <w:vAlign w:val="bottom"/>
          </w:tcPr>
          <w:p w14:paraId="62D6B26E" w14:textId="77777777" w:rsidR="00E122F0" w:rsidRPr="00AC2CFB" w:rsidRDefault="00E122F0" w:rsidP="00E122F0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 w:rsidR="00E122F0" w:rsidRPr="00AC2CFB" w14:paraId="4C4F9C88" w14:textId="77777777" w:rsidTr="00283E8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3A19A563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6.1. Совершенствование организационной структуры механизма управления</w:t>
            </w:r>
          </w:p>
        </w:tc>
        <w:tc>
          <w:tcPr>
            <w:tcW w:w="1991" w:type="dxa"/>
            <w:shd w:val="clear" w:color="auto" w:fill="FFFFFF"/>
          </w:tcPr>
          <w:p w14:paraId="04EA8F4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6.5</w:t>
            </w:r>
          </w:p>
        </w:tc>
        <w:tc>
          <w:tcPr>
            <w:tcW w:w="2038" w:type="dxa"/>
            <w:shd w:val="clear" w:color="auto" w:fill="FFFFFF"/>
          </w:tcPr>
          <w:p w14:paraId="35872EC5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1E1A1A34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6A6C002D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5B73218B" w14:textId="77777777" w:rsidTr="00283E80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14:paraId="2534F39C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6.1.1. Актуализация состава рабочей группы по выполнению плана мероприятий, утвержденного распоряжением Коллегии Евразийской экономической комиссии от 21 марта 2017 г. № 26 (далее - рабочая группа)</w:t>
            </w:r>
          </w:p>
        </w:tc>
        <w:tc>
          <w:tcPr>
            <w:tcW w:w="1991" w:type="dxa"/>
            <w:shd w:val="clear" w:color="auto" w:fill="FFFFFF"/>
          </w:tcPr>
          <w:p w14:paraId="7B727837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17AE04C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376" w:type="dxa"/>
            <w:shd w:val="clear" w:color="auto" w:fill="FFFFFF"/>
          </w:tcPr>
          <w:p w14:paraId="11FBA97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7EA001D4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проекты актов Комиссии</w:t>
            </w:r>
          </w:p>
        </w:tc>
      </w:tr>
      <w:tr w:rsidR="00E122F0" w:rsidRPr="00AC2CFB" w14:paraId="62D1C991" w14:textId="77777777" w:rsidTr="00EE145A">
        <w:trPr>
          <w:jc w:val="center"/>
        </w:trPr>
        <w:tc>
          <w:tcPr>
            <w:tcW w:w="14534" w:type="dxa"/>
            <w:gridSpan w:val="5"/>
            <w:shd w:val="clear" w:color="auto" w:fill="FFFFFF"/>
            <w:vAlign w:val="bottom"/>
          </w:tcPr>
          <w:p w14:paraId="6ADAB154" w14:textId="77777777" w:rsidR="00E122F0" w:rsidRPr="00AC2CFB" w:rsidRDefault="00E122F0" w:rsidP="00E122F0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 Организационные вопросы</w:t>
            </w:r>
          </w:p>
        </w:tc>
      </w:tr>
      <w:tr w:rsidR="00E122F0" w:rsidRPr="00AC2CFB" w14:paraId="0F725520" w14:textId="77777777" w:rsidTr="00283E80">
        <w:trPr>
          <w:jc w:val="center"/>
        </w:trPr>
        <w:tc>
          <w:tcPr>
            <w:tcW w:w="4849" w:type="dxa"/>
            <w:shd w:val="clear" w:color="auto" w:fill="FFFFFF"/>
          </w:tcPr>
          <w:p w14:paraId="252EA8CD" w14:textId="77777777" w:rsidR="00E122F0" w:rsidRPr="00E122F0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7.1. Популяризация механизма «единого окна»: работа со СМИ, организация открытых дискуссий, семинаров, конференций и круглых</w:t>
            </w:r>
            <w:r w:rsidRPr="00E122F0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столов по вопросам реализации Основных направлений и плана мероприятий</w:t>
            </w:r>
          </w:p>
        </w:tc>
        <w:tc>
          <w:tcPr>
            <w:tcW w:w="1991" w:type="dxa"/>
            <w:shd w:val="clear" w:color="auto" w:fill="FFFFFF"/>
          </w:tcPr>
          <w:p w14:paraId="0A0E943F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7.1</w:t>
            </w:r>
          </w:p>
        </w:tc>
        <w:tc>
          <w:tcPr>
            <w:tcW w:w="2038" w:type="dxa"/>
            <w:shd w:val="clear" w:color="auto" w:fill="FFFFFF"/>
          </w:tcPr>
          <w:p w14:paraId="6C59EB35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50A1448B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55CF5EBD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2FA1C60B" w14:textId="77777777" w:rsidTr="00283E80">
        <w:trPr>
          <w:jc w:val="center"/>
        </w:trPr>
        <w:tc>
          <w:tcPr>
            <w:tcW w:w="4849" w:type="dxa"/>
            <w:shd w:val="clear" w:color="auto" w:fill="FFFFFF"/>
          </w:tcPr>
          <w:p w14:paraId="303865A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7.1.1. Проведение круглых столов, рабочих групп, совещаний или иных мероприятий с целью практической демонстрации реализуемых национальных проектов механизма «единого окна»</w:t>
            </w:r>
          </w:p>
        </w:tc>
        <w:tc>
          <w:tcPr>
            <w:tcW w:w="1991" w:type="dxa"/>
            <w:shd w:val="clear" w:color="auto" w:fill="FFFFFF"/>
          </w:tcPr>
          <w:p w14:paraId="7EA04D8B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66CBCF32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33D89B30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17C65B1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122F0" w:rsidRPr="00AC2CFB" w14:paraId="428A3C96" w14:textId="77777777" w:rsidTr="00D8144B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6C37666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7.1.2. Проведение круглого стола по обсуждению инструментов оптимизации бизнес-процессов</w:t>
            </w:r>
          </w:p>
        </w:tc>
        <w:tc>
          <w:tcPr>
            <w:tcW w:w="1991" w:type="dxa"/>
            <w:shd w:val="clear" w:color="auto" w:fill="FFFFFF"/>
          </w:tcPr>
          <w:p w14:paraId="2460E938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34DFD4CC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09F36C95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5A9934C4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122F0" w:rsidRPr="00AC2CFB" w14:paraId="26BFCF59" w14:textId="77777777" w:rsidTr="00D8144B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4C432A39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1991" w:type="dxa"/>
            <w:shd w:val="clear" w:color="auto" w:fill="FFFFFF"/>
          </w:tcPr>
          <w:p w14:paraId="47B79D7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пункт 7.2</w:t>
            </w:r>
          </w:p>
        </w:tc>
        <w:tc>
          <w:tcPr>
            <w:tcW w:w="2038" w:type="dxa"/>
            <w:shd w:val="clear" w:color="auto" w:fill="FFFFFF"/>
          </w:tcPr>
          <w:p w14:paraId="6A214A2D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376" w:type="dxa"/>
            <w:shd w:val="clear" w:color="auto" w:fill="FFFFFF"/>
          </w:tcPr>
          <w:p w14:paraId="1A27A007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3280" w:type="dxa"/>
            <w:shd w:val="clear" w:color="auto" w:fill="FFFFFF"/>
          </w:tcPr>
          <w:p w14:paraId="7D32F3CC" w14:textId="77777777" w:rsidR="00E122F0" w:rsidRPr="00AC2CFB" w:rsidRDefault="00E122F0" w:rsidP="006676E3">
            <w:pPr>
              <w:spacing w:after="120"/>
              <w:ind w:right="-30"/>
            </w:pPr>
          </w:p>
        </w:tc>
      </w:tr>
      <w:tr w:rsidR="00E122F0" w:rsidRPr="00AC2CFB" w14:paraId="1AB4F255" w14:textId="77777777" w:rsidTr="00D8144B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14:paraId="2782551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7.2.1. Подготовка и публикация отчета об исполнении плана мероприятий в 2015 - 2017 годах</w:t>
            </w:r>
          </w:p>
        </w:tc>
        <w:tc>
          <w:tcPr>
            <w:tcW w:w="1991" w:type="dxa"/>
            <w:shd w:val="clear" w:color="auto" w:fill="FFFFFF"/>
          </w:tcPr>
          <w:p w14:paraId="4E06F8F8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C8A22F9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  <w:vAlign w:val="bottom"/>
          </w:tcPr>
          <w:p w14:paraId="5A6CA557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  <w:vAlign w:val="bottom"/>
          </w:tcPr>
          <w:p w14:paraId="150FD040" w14:textId="77777777" w:rsidR="00E122F0" w:rsidRPr="00AC2CFB" w:rsidRDefault="00E122F0" w:rsidP="00E122F0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опубликование отчета на официальном сайте Союза</w:t>
            </w:r>
          </w:p>
        </w:tc>
      </w:tr>
      <w:tr w:rsidR="00E122F0" w:rsidRPr="00AC2CFB" w14:paraId="065DF524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2AC15A82" w14:textId="77777777" w:rsidR="00E122F0" w:rsidRPr="005C66FC" w:rsidRDefault="00E122F0" w:rsidP="005C66FC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7.2.2. Развитие тематического информационного ресурса по вопросам реализации Основных направлений на портале Союза</w:t>
            </w:r>
          </w:p>
        </w:tc>
        <w:tc>
          <w:tcPr>
            <w:tcW w:w="1991" w:type="dxa"/>
            <w:shd w:val="clear" w:color="auto" w:fill="FFFFFF"/>
          </w:tcPr>
          <w:p w14:paraId="56B9E679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34CB811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7E24B7C8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80" w:type="dxa"/>
            <w:shd w:val="clear" w:color="auto" w:fill="FFFFFF"/>
          </w:tcPr>
          <w:p w14:paraId="61AB5EBA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тематический информационный ресурс по вопросам реализации Основных направлений</w:t>
            </w:r>
          </w:p>
        </w:tc>
      </w:tr>
      <w:tr w:rsidR="005C66FC" w:rsidRPr="00AC2CFB" w14:paraId="3B91D64B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5D922B4F" w14:textId="77777777" w:rsidR="005C66FC" w:rsidRPr="00AC2CFB" w:rsidRDefault="005C66FC" w:rsidP="005C66FC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7.3. Организация заседаний рабочей группы</w:t>
            </w:r>
          </w:p>
        </w:tc>
        <w:tc>
          <w:tcPr>
            <w:tcW w:w="1991" w:type="dxa"/>
            <w:shd w:val="clear" w:color="auto" w:fill="FFFFFF"/>
          </w:tcPr>
          <w:p w14:paraId="4B946F9B" w14:textId="77777777" w:rsidR="005C66FC" w:rsidRPr="00AC2CFB" w:rsidRDefault="005C66FC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88A7B75" w14:textId="77777777" w:rsidR="005C66FC" w:rsidRPr="00AC2CFB" w:rsidRDefault="005C66FC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/>
          </w:tcPr>
          <w:p w14:paraId="13AEEB6F" w14:textId="77777777" w:rsidR="005C66FC" w:rsidRPr="00AC2CFB" w:rsidRDefault="005C66FC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FFFFF"/>
          </w:tcPr>
          <w:p w14:paraId="388AB015" w14:textId="77777777" w:rsidR="005C66FC" w:rsidRPr="00AC2CFB" w:rsidRDefault="005C66FC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</w:p>
        </w:tc>
      </w:tr>
      <w:tr w:rsidR="00E122F0" w:rsidRPr="00AC2CFB" w14:paraId="0DC0B712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64D6CBB8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7.3.1. Заседания рабочей группы в составе координационного совета</w:t>
            </w:r>
          </w:p>
        </w:tc>
        <w:tc>
          <w:tcPr>
            <w:tcW w:w="1991" w:type="dxa"/>
            <w:shd w:val="clear" w:color="auto" w:fill="FFFFFF"/>
          </w:tcPr>
          <w:p w14:paraId="1F522ED5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2EDB64D1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4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shd w:val="clear" w:color="auto" w:fill="FFFFFF"/>
          </w:tcPr>
          <w:p w14:paraId="31B76BAF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64AAF688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E122F0" w:rsidRPr="00AC2CFB" w14:paraId="2C25CCBE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353BE41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58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7.3.2. Заседания рабочей группы в составе отдельных тематических блоков</w:t>
            </w:r>
          </w:p>
        </w:tc>
        <w:tc>
          <w:tcPr>
            <w:tcW w:w="1991" w:type="dxa"/>
            <w:shd w:val="clear" w:color="auto" w:fill="FFFFFF"/>
          </w:tcPr>
          <w:p w14:paraId="55AA02D2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763B2287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left="140"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ежеквартально</w:t>
            </w:r>
          </w:p>
        </w:tc>
        <w:tc>
          <w:tcPr>
            <w:tcW w:w="2376" w:type="dxa"/>
            <w:shd w:val="clear" w:color="auto" w:fill="FFFFFF"/>
          </w:tcPr>
          <w:p w14:paraId="55A898FE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40021D2B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E122F0" w:rsidRPr="00AC2CFB" w14:paraId="1C1957DD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412C71DC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7.4. Подготовка плана работы рабочей группы по выполнению плана мероприятий</w:t>
            </w:r>
          </w:p>
        </w:tc>
        <w:tc>
          <w:tcPr>
            <w:tcW w:w="1991" w:type="dxa"/>
            <w:shd w:val="clear" w:color="auto" w:fill="FFFFFF"/>
          </w:tcPr>
          <w:p w14:paraId="6118E0C8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12744D06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376" w:type="dxa"/>
            <w:shd w:val="clear" w:color="auto" w:fill="FFFFFF"/>
          </w:tcPr>
          <w:p w14:paraId="12BB9608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417762E2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план работы рабочей группы</w:t>
            </w:r>
          </w:p>
        </w:tc>
      </w:tr>
      <w:tr w:rsidR="00E122F0" w:rsidRPr="00AC2CFB" w14:paraId="04C28EE1" w14:textId="77777777" w:rsidTr="002C2FEE">
        <w:trPr>
          <w:jc w:val="center"/>
        </w:trPr>
        <w:tc>
          <w:tcPr>
            <w:tcW w:w="4849" w:type="dxa"/>
            <w:shd w:val="clear" w:color="auto" w:fill="FFFFFF"/>
          </w:tcPr>
          <w:p w14:paraId="134C7202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7.5. Подготовка проекта детализированного плана на 2019 год по выполнению плана мероприятий</w:t>
            </w:r>
          </w:p>
        </w:tc>
        <w:tc>
          <w:tcPr>
            <w:tcW w:w="1991" w:type="dxa"/>
            <w:shd w:val="clear" w:color="auto" w:fill="FFFFFF"/>
          </w:tcPr>
          <w:p w14:paraId="76BE7D75" w14:textId="77777777" w:rsidR="00E122F0" w:rsidRPr="00AC2CFB" w:rsidRDefault="00E122F0" w:rsidP="006676E3">
            <w:pPr>
              <w:spacing w:after="120"/>
              <w:ind w:right="-30"/>
            </w:pPr>
          </w:p>
        </w:tc>
        <w:tc>
          <w:tcPr>
            <w:tcW w:w="2038" w:type="dxa"/>
            <w:shd w:val="clear" w:color="auto" w:fill="FFFFFF"/>
          </w:tcPr>
          <w:p w14:paraId="04DFDD54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76" w:type="dxa"/>
            <w:shd w:val="clear" w:color="auto" w:fill="FFFFFF"/>
          </w:tcPr>
          <w:p w14:paraId="1B3AA1AE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Комиссия,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280" w:type="dxa"/>
            <w:shd w:val="clear" w:color="auto" w:fill="FFFFFF"/>
          </w:tcPr>
          <w:p w14:paraId="33595299" w14:textId="77777777" w:rsidR="00E122F0" w:rsidRPr="00AC2CFB" w:rsidRDefault="00E122F0" w:rsidP="006676E3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2CFB">
              <w:rPr>
                <w:rStyle w:val="Bodytext214pt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</w:tbl>
    <w:p w14:paraId="36EFF24E" w14:textId="77777777" w:rsidR="00E57D9D" w:rsidRPr="00AC2CFB" w:rsidRDefault="00E57D9D" w:rsidP="008F126E">
      <w:pPr>
        <w:spacing w:after="120"/>
        <w:ind w:right="-30"/>
      </w:pPr>
    </w:p>
    <w:p w14:paraId="2E2F6664" w14:textId="77777777" w:rsidR="00E57D9D" w:rsidRPr="00AC2CFB" w:rsidRDefault="00E57D9D" w:rsidP="008F126E">
      <w:pPr>
        <w:spacing w:after="120"/>
        <w:ind w:right="-30"/>
      </w:pPr>
    </w:p>
    <w:p w14:paraId="6B77CBD0" w14:textId="77777777" w:rsidR="00E57D9D" w:rsidRPr="00AC2CFB" w:rsidRDefault="00E57D9D" w:rsidP="008F126E">
      <w:pPr>
        <w:spacing w:after="120"/>
        <w:ind w:right="-30"/>
      </w:pPr>
    </w:p>
    <w:p w14:paraId="6DD2E152" w14:textId="77777777" w:rsidR="00E57D9D" w:rsidRPr="00AC2CFB" w:rsidRDefault="00AC2CFB" w:rsidP="008F126E">
      <w:pPr>
        <w:pStyle w:val="Tablecaption20"/>
        <w:shd w:val="clear" w:color="auto" w:fill="auto"/>
        <w:spacing w:after="120" w:line="240" w:lineRule="auto"/>
        <w:ind w:right="-30"/>
        <w:jc w:val="both"/>
        <w:rPr>
          <w:rFonts w:ascii="Sylfaen" w:hAnsi="Sylfaen"/>
        </w:rPr>
      </w:pPr>
      <w:r w:rsidRPr="00AC2CFB">
        <w:rPr>
          <w:rFonts w:ascii="Sylfaen" w:hAnsi="Sylfaen"/>
          <w:lang w:eastAsia="en-US" w:bidi="en-US"/>
        </w:rPr>
        <w:t xml:space="preserve">* </w:t>
      </w:r>
      <w:r w:rsidRPr="00AC2CFB">
        <w:rPr>
          <w:rFonts w:ascii="Sylfaen" w:hAnsi="Sylfaen"/>
        </w:rPr>
        <w:t>Указывается пункт перечня мероприятий (раздел XII)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p w14:paraId="4E1B033F" w14:textId="77777777" w:rsidR="00E57D9D" w:rsidRPr="00AC2CFB" w:rsidRDefault="00E57D9D" w:rsidP="008F126E">
      <w:pPr>
        <w:spacing w:after="120"/>
        <w:ind w:right="-30"/>
      </w:pPr>
    </w:p>
    <w:p w14:paraId="7D58567C" w14:textId="77777777" w:rsidR="00E57D9D" w:rsidRPr="00AC2CFB" w:rsidRDefault="00E57D9D" w:rsidP="008F126E">
      <w:pPr>
        <w:spacing w:after="120"/>
        <w:ind w:right="-30"/>
      </w:pPr>
    </w:p>
    <w:p w14:paraId="40FAC1A4" w14:textId="77777777" w:rsidR="00E57D9D" w:rsidRPr="00AC2CFB" w:rsidRDefault="00E57D9D" w:rsidP="008F126E">
      <w:pPr>
        <w:spacing w:after="120"/>
        <w:ind w:right="-30"/>
      </w:pPr>
    </w:p>
    <w:p w14:paraId="6EE38E50" w14:textId="77777777" w:rsidR="008F126E" w:rsidRPr="00AC2CFB" w:rsidRDefault="008F126E">
      <w:pPr>
        <w:spacing w:after="120"/>
        <w:ind w:right="-30"/>
      </w:pPr>
    </w:p>
    <w:sectPr w:rsidR="008F126E" w:rsidRPr="00AC2CFB" w:rsidSect="00AC2CF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5409D" w14:textId="77777777" w:rsidR="003F074B" w:rsidRDefault="003F074B" w:rsidP="00E57D9D">
      <w:r>
        <w:separator/>
      </w:r>
    </w:p>
  </w:endnote>
  <w:endnote w:type="continuationSeparator" w:id="0">
    <w:p w14:paraId="11304900" w14:textId="77777777" w:rsidR="003F074B" w:rsidRDefault="003F074B" w:rsidP="00E5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03FEE" w14:textId="77777777" w:rsidR="003F074B" w:rsidRDefault="003F074B"/>
  </w:footnote>
  <w:footnote w:type="continuationSeparator" w:id="0">
    <w:p w14:paraId="15FC6BAD" w14:textId="77777777" w:rsidR="003F074B" w:rsidRDefault="003F0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003DE"/>
    <w:multiLevelType w:val="multilevel"/>
    <w:tmpl w:val="80582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9D"/>
    <w:rsid w:val="00052C58"/>
    <w:rsid w:val="00165341"/>
    <w:rsid w:val="00264BCA"/>
    <w:rsid w:val="003F074B"/>
    <w:rsid w:val="004709BD"/>
    <w:rsid w:val="005C66FC"/>
    <w:rsid w:val="00861982"/>
    <w:rsid w:val="008F126E"/>
    <w:rsid w:val="00AC2CFB"/>
    <w:rsid w:val="00D7230E"/>
    <w:rsid w:val="00E122F0"/>
    <w:rsid w:val="00E57D9D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480"/>
  <w15:docId w15:val="{3F009A40-E17C-44E7-9A79-70CD80A5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7D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7D9D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Bold">
    <w:name w:val="Heading #1 (2) + Bold"/>
    <w:basedOn w:val="Heading12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2pt">
    <w:name w:val="Table caption (3) + Spacing 2 pt"/>
    <w:basedOn w:val="Tablecaption3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5pt">
    <w:name w:val="Body text (5) + 15 pt"/>
    <w:aliases w:val="Bold,Spacing 2 pt,Body text (2) + Bold,Body text (2) + 13 pt,Body text (2) + Times New Roman,13 pt"/>
    <w:basedOn w:val="Bodytext5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E57D9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40">
    <w:name w:val="Body text (4)"/>
    <w:basedOn w:val="Normal"/>
    <w:link w:val="Bodytext4"/>
    <w:rsid w:val="00E57D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57D9D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30">
    <w:name w:val="Table caption (3)"/>
    <w:basedOn w:val="Normal"/>
    <w:link w:val="Tablecaption3"/>
    <w:rsid w:val="00E57D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57D9D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E57D9D"/>
    <w:pPr>
      <w:shd w:val="clear" w:color="auto" w:fill="FFFFFF"/>
      <w:spacing w:before="420" w:line="4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E57D9D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E57D9D"/>
    <w:pPr>
      <w:shd w:val="clear" w:color="auto" w:fill="FFFFFF"/>
      <w:spacing w:before="60" w:line="0" w:lineRule="atLeast"/>
    </w:pPr>
    <w:rPr>
      <w:rFonts w:ascii="CordiaUPC" w:eastAsia="CordiaUPC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2018-08-03T10:13:00Z</dcterms:created>
  <dcterms:modified xsi:type="dcterms:W3CDTF">2020-04-28T07:52:00Z</dcterms:modified>
</cp:coreProperties>
</file>