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00F1F">
        <w:rPr>
          <w:rFonts w:ascii="Sylfaen" w:hAnsi="Sylfaen"/>
          <w:sz w:val="24"/>
          <w:szCs w:val="24"/>
        </w:rPr>
        <w:t>ПРИЛОЖЕНИЕ № 2</w:t>
      </w:r>
    </w:p>
    <w:p w:rsidR="003F05F0" w:rsidRPr="00300F1F" w:rsidRDefault="00E501E2" w:rsidP="00D41D02">
      <w:pPr>
        <w:pStyle w:val="Bodytext60"/>
        <w:shd w:val="clear" w:color="auto" w:fill="auto"/>
        <w:spacing w:before="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к Решению Коллегии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left="5387" w:right="-8"/>
        <w:jc w:val="center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от 2 июня 2016 г. № 57</w:t>
      </w:r>
    </w:p>
    <w:p w:rsidR="00D41D02" w:rsidRDefault="00D41D02" w:rsidP="00D41D02">
      <w:pPr>
        <w:pStyle w:val="Heading20"/>
        <w:shd w:val="clear" w:color="auto" w:fill="auto"/>
        <w:spacing w:before="0" w:after="120" w:line="240" w:lineRule="auto"/>
        <w:ind w:left="23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4"/>
    </w:p>
    <w:p w:rsidR="003F05F0" w:rsidRPr="00300F1F" w:rsidRDefault="00E501E2" w:rsidP="00D41D02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300F1F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  <w:bookmarkEnd w:id="1"/>
    </w:p>
    <w:p w:rsidR="003F05F0" w:rsidRDefault="00E501E2" w:rsidP="00D41D02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  <w:bookmarkStart w:id="2" w:name="bookmark5"/>
      <w:r w:rsidRPr="00300F1F">
        <w:rPr>
          <w:rFonts w:ascii="Sylfaen" w:hAnsi="Sylfaen"/>
          <w:sz w:val="24"/>
          <w:szCs w:val="24"/>
        </w:rPr>
        <w:t>решений Коллегии Евразийской экономической комиссии,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признанных утратившими силу</w:t>
      </w:r>
      <w:bookmarkEnd w:id="2"/>
    </w:p>
    <w:p w:rsidR="00D41D02" w:rsidRPr="00300F1F" w:rsidRDefault="00D41D02" w:rsidP="00D41D02">
      <w:pPr>
        <w:pStyle w:val="Heading20"/>
        <w:shd w:val="clear" w:color="auto" w:fill="auto"/>
        <w:spacing w:before="0" w:after="120" w:line="240" w:lineRule="auto"/>
        <w:ind w:left="1134" w:right="1126"/>
        <w:rPr>
          <w:rFonts w:ascii="Sylfaen" w:hAnsi="Sylfaen"/>
          <w:sz w:val="24"/>
          <w:szCs w:val="24"/>
        </w:rPr>
      </w:pP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1. </w:t>
      </w:r>
      <w:r w:rsidR="00E501E2" w:rsidRPr="00300F1F">
        <w:rPr>
          <w:rFonts w:ascii="Sylfaen" w:hAnsi="Sylfaen"/>
          <w:sz w:val="24"/>
          <w:szCs w:val="24"/>
        </w:rPr>
        <w:t>В Решении Коллегии Евразийской экономической комиссии от 16 августа 2012 г. № 134 «О нормативных правовых актах в области нетарифного регулирования»: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а)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раздел 2ЛЗ Единого перечня товаров, к которым применяются запреты или ограничения на ввоз или вывоз государствами -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p w:rsidR="003F05F0" w:rsidRPr="00300F1F" w:rsidRDefault="00E501E2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>б)</w:t>
      </w:r>
      <w:r w:rsidR="00300F1F" w:rsidRPr="00300F1F">
        <w:rPr>
          <w:rFonts w:ascii="Sylfaen" w:hAnsi="Sylfaen"/>
          <w:sz w:val="24"/>
          <w:szCs w:val="24"/>
        </w:rPr>
        <w:t xml:space="preserve"> </w:t>
      </w:r>
      <w:r w:rsidRPr="00300F1F">
        <w:rPr>
          <w:rFonts w:ascii="Sylfaen" w:hAnsi="Sylfaen"/>
          <w:sz w:val="24"/>
          <w:szCs w:val="24"/>
        </w:rPr>
        <w:t>Положение о порядке ввоза, вывоза и транзита ядовитых веществ, не являющихся прекурсорами наркотических средств и психотропных веществ, по таможенной территории Таможенного союза Положений о применении ограничений, утвержденных указанным Решением.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2. </w:t>
      </w:r>
      <w:r w:rsidR="00E501E2" w:rsidRPr="00300F1F">
        <w:rPr>
          <w:rFonts w:ascii="Sylfaen" w:hAnsi="Sylfaen"/>
          <w:sz w:val="24"/>
          <w:szCs w:val="24"/>
        </w:rPr>
        <w:t>Решение Коллегии Евразийской экономической комиссии от 2 октября 2012 г. № 177 «О внесении изменений в Решение Коллегии Евразийской экономической комиссии от 16 августа 2012 года № 134 «О нормативных правовых актах в области нетарифного регулирования».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3. </w:t>
      </w:r>
      <w:r w:rsidR="00E501E2" w:rsidRPr="00300F1F">
        <w:rPr>
          <w:rFonts w:ascii="Sylfaen" w:hAnsi="Sylfaen"/>
          <w:sz w:val="24"/>
          <w:szCs w:val="24"/>
        </w:rPr>
        <w:t>Подпункт «г» пункта 11 приложения к Решению Коллегии Евразийской экономической комиссии от 25 июня 2013 г. № 140 «О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комиссии».</w:t>
      </w:r>
    </w:p>
    <w:p w:rsidR="003F05F0" w:rsidRPr="00300F1F" w:rsidRDefault="00300F1F" w:rsidP="00D41D02">
      <w:pPr>
        <w:pStyle w:val="Bodytext6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300F1F">
        <w:rPr>
          <w:rFonts w:ascii="Sylfaen" w:hAnsi="Sylfaen"/>
          <w:sz w:val="24"/>
          <w:szCs w:val="24"/>
        </w:rPr>
        <w:t xml:space="preserve">4. </w:t>
      </w:r>
      <w:r w:rsidR="00E501E2" w:rsidRPr="00300F1F">
        <w:rPr>
          <w:rFonts w:ascii="Sylfaen" w:hAnsi="Sylfaen"/>
          <w:sz w:val="24"/>
          <w:szCs w:val="24"/>
        </w:rPr>
        <w:t>Подпункт «б» пункта 2 Решения Коллегии Евразийской экономической комиссии от 17 декабря 2013 г. № 300 «О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корня солодки и Решение Коллегии Евразийской экономической комисс</w:t>
      </w:r>
      <w:r w:rsidR="00D41D02">
        <w:rPr>
          <w:rFonts w:ascii="Sylfaen" w:hAnsi="Sylfaen"/>
          <w:sz w:val="24"/>
          <w:szCs w:val="24"/>
        </w:rPr>
        <w:t>и</w:t>
      </w:r>
      <w:r w:rsidR="00E501E2" w:rsidRPr="00300F1F">
        <w:rPr>
          <w:rFonts w:ascii="Sylfaen" w:hAnsi="Sylfaen"/>
          <w:sz w:val="24"/>
          <w:szCs w:val="24"/>
        </w:rPr>
        <w:t>и от 16 августа 2012 г. № 134».</w:t>
      </w:r>
    </w:p>
    <w:sectPr w:rsidR="003F05F0" w:rsidRPr="00300F1F" w:rsidSect="00300F1F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38" w:rsidRDefault="00B43738" w:rsidP="003F05F0">
      <w:r>
        <w:separator/>
      </w:r>
    </w:p>
  </w:endnote>
  <w:endnote w:type="continuationSeparator" w:id="0">
    <w:p w:rsidR="00B43738" w:rsidRDefault="00B43738" w:rsidP="003F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38" w:rsidRDefault="00B43738"/>
  </w:footnote>
  <w:footnote w:type="continuationSeparator" w:id="0">
    <w:p w:rsidR="00B43738" w:rsidRDefault="00B437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B8C"/>
    <w:multiLevelType w:val="multilevel"/>
    <w:tmpl w:val="71B22E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00AA1"/>
    <w:multiLevelType w:val="multilevel"/>
    <w:tmpl w:val="FC920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7F01EB"/>
    <w:multiLevelType w:val="multilevel"/>
    <w:tmpl w:val="A64E82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DE1704"/>
    <w:multiLevelType w:val="multilevel"/>
    <w:tmpl w:val="E5BCE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95B85"/>
    <w:multiLevelType w:val="multilevel"/>
    <w:tmpl w:val="9E000C7A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7E66A9"/>
    <w:multiLevelType w:val="multilevel"/>
    <w:tmpl w:val="53D0BE0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253551"/>
    <w:multiLevelType w:val="multilevel"/>
    <w:tmpl w:val="525874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F05F0"/>
    <w:rsid w:val="0011234A"/>
    <w:rsid w:val="00300F1F"/>
    <w:rsid w:val="003F05F0"/>
    <w:rsid w:val="00574294"/>
    <w:rsid w:val="00A606F0"/>
    <w:rsid w:val="00B43738"/>
    <w:rsid w:val="00D41D02"/>
    <w:rsid w:val="00E5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F05F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F05F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">
    <w:name w:val="Body text (6)_"/>
    <w:basedOn w:val="DefaultParagraphFont"/>
    <w:link w:val="Bodytext60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Bold">
    <w:name w:val="Body text (6) + Bold"/>
    <w:aliases w:val="Spacing 2 pt"/>
    <w:basedOn w:val="Bodytext6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3F05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3F05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3F05F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F05F0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3F05F0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F05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3F05F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3F05F0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0F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F1F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F1F"/>
    <w:rPr>
      <w:vertAlign w:val="superscript"/>
    </w:rPr>
  </w:style>
  <w:style w:type="table" w:styleId="TableGrid">
    <w:name w:val="Table Grid"/>
    <w:basedOn w:val="TableNormal"/>
    <w:uiPriority w:val="59"/>
    <w:rsid w:val="00300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A4696-0F94-45A0-8406-4D6B6FB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2017-07-24T02:08:00Z</dcterms:created>
  <dcterms:modified xsi:type="dcterms:W3CDTF">2018-07-27T06:38:00Z</dcterms:modified>
</cp:coreProperties>
</file>