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21F93">
        <w:rPr>
          <w:rStyle w:val="Bodytext101"/>
          <w:rFonts w:ascii="Sylfaen" w:hAnsi="Sylfaen"/>
          <w:sz w:val="24"/>
          <w:szCs w:val="24"/>
        </w:rPr>
        <w:t>УТВЕРЖДЕН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0" w:line="240" w:lineRule="auto"/>
        <w:ind w:left="5387" w:right="-6"/>
        <w:jc w:val="center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Решением Коллегии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Евразийской экономической комиссии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от 26 июля 2016 г. № 89</w:t>
      </w:r>
    </w:p>
    <w:p w:rsidR="00621F93" w:rsidRDefault="00621F93" w:rsidP="00621F93">
      <w:pPr>
        <w:pStyle w:val="Bodytext30"/>
        <w:shd w:val="clear" w:color="auto" w:fill="auto"/>
        <w:spacing w:line="24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D976D0" w:rsidRPr="00621F93" w:rsidRDefault="00F347FD" w:rsidP="00621F9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621F9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D976D0" w:rsidRDefault="00F347FD" w:rsidP="00621F9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  <w:r w:rsidRPr="00621F93">
        <w:rPr>
          <w:rFonts w:ascii="Sylfaen" w:hAnsi="Sylfaen"/>
          <w:sz w:val="24"/>
          <w:szCs w:val="24"/>
        </w:rPr>
        <w:t>организации поверки средства измерений</w:t>
      </w:r>
    </w:p>
    <w:p w:rsidR="00621F93" w:rsidRPr="00621F93" w:rsidRDefault="00621F93" w:rsidP="00621F9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  <w:lang w:val="en-US"/>
        </w:rPr>
      </w:pP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Настоящий Порядок разработан в соответствии с подпунктом 3 пункта 9 Протокола о проведении согласованной политики в области обеспечения единства измерений (приложение №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10 к Договору о Евразийском экономическом союзе от 29 мая 2014 года), определяет правила организации поверки средства измерений в государствах - членах Евразийского экономического союза (далее соответственно - поверка, государства-члены) и распространяется на средства измерений, изготовленные на территориях государств-членов.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Для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целей настоящего Порядка под обязательными метрологическими требованиями к средству измерений понимаются метрологические требования (характеристики) средства измерений, указанные в описании типа средств измерений (далее соответственно -обязательные метрологические требования, описание типа).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Иные понятия, используемые в настоящем Порядке, применяются в значениях, определенных Протоколом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3.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В соответствии с настоящим Порядком поверке подлежат средства измерений, в отношении которых осуществлено взаимное признание утверждения типа этих средств измерений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4.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Поверка проводится юридическими лицами государств-членов, уполномоченными (нотифицированными) в соответствии с законодательством государств-членов (далее - уполномоченная организация).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5.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В ходе поверки устанавливается соответствие средства измерений обязательным метрологическим требованиям.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6.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При поверке применяются эталоны единиц величин, для которых обеспечивается метрологическая прослеживаемость получаемых с их помощью результатов измерений к Международной системе единиц (СИ), национальным (первичным) эталонам и (или) международным эталонам единиц величин.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7.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Поверки подразделяются на первичную и последующие поверки.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lastRenderedPageBreak/>
        <w:t xml:space="preserve">8.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Первичная поверка проводится: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а)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при выпуске из производства средства измерений;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б) при вводе в эксплуатацию средства измерений (если при выпуске из производства средства измерений поверка не проводилась);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в)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после ремонта средства измерений.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9.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Последующая поверка проводится при условии проведения первичной поверки и подразделяется на: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а)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периодическую;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б)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внеочередную;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в)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после ремонта средства измерений;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г)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поверку при повреждении знаков поверки или пломб для защиты от несанкционированного доступа к местам настройки средств измерений, в том числе программного обеспечения.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10.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Периодическая поверка проводится в отношении средств измерений, находящихся в эксплуатации, через интервал времени между поверками, указанный в сертификате об утверждении типа средства измерений.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11.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Внеочередная поверка проводится до истечения срока действия свидетельства о поверке по инициативе владельца (пользователя) средства измерений или другого заинтересованного лица.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12.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Поверка после ремонта средства измерений проводится в объеме первичной поверки.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13.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Поверка средств измерений проводится на основании заявки владельца (пользователя) средства измерений или другого заинтересованного лица (далее - заявители).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14.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Для проведения поверки заявителем представляются в уполномоченную организацию: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а)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заявка (с указанием наименования средства измерений, сведений о заявителе (наименование, местонахождение (адрес) юридического лица или фамилия, имя, отчество (при наличии), место жительства физического лица или физического лица, зарегистрированного в качестве индивидуального предпринимателя, номера телефона и факса, адрес электронной почты (при наличии)), а также с указанием необходимости признания поверки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комиссией);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б)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свидетельство о предыдущей поверке (при наличии);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в)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средство измерений в комплектности в соответствии с описанием типа;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г)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информация о проведенном ремонте средства измерений (в случае если </w:t>
      </w:r>
      <w:r w:rsidRPr="00621F93">
        <w:rPr>
          <w:rStyle w:val="Bodytext101"/>
          <w:rFonts w:ascii="Sylfaen" w:hAnsi="Sylfaen"/>
          <w:sz w:val="24"/>
          <w:szCs w:val="24"/>
        </w:rPr>
        <w:lastRenderedPageBreak/>
        <w:t>средство измерений подвергалось ремонту).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15.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При установлении в результате поверки соответствия средства измерений обязательным метрологическим требованиям на него уполномоченной организацией наносится знак поверки и (или) оформляется свидетельство по форме согласно приложению (далее - свидетельство). Знаки поверки могут также наноситься на средство измерений в местах, указанных в описании типа, для защиты от несанкционированного доступа к местам настройки средства измерений, в том числе программного обеспечения.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16.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При установлении в результате поверки несоответствия средства измерений обязательным метрологическим требованиям (одному или нескольким) уполномоченной организацией оформляется и выдается заявителю соответствующее извещение, аннулируется свидетельство о предыдущей поверке, срок действия которого не истек, гасится знак поверки.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17.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Форма знака поверки и способы его применения, нанесения и гашения устанавливаются государством-членом.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Информация о применяемых знаках поверки размещается в информационном фонде в области обеспечения единства измерений государства-члена.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18.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Уполномоченной организацией при проведении поверки: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а)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выполняются процедуры поверки, указанные в методике поверки;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б)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ведутся записи результатов измерений, оформляется протокол поверки по форме, предусмотренной методикой поверки;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в)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оформляется результат поверки;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г)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выполняются работы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комиссией, в целях признания результатов поверки средства измерений;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д)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вносятся сведения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о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взаимном признании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поверки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информационный фонд в области обеспечения единства измерений в порядке, установленном законодательством своего государства-члена, после получения от уполномоченных органов государств-членов уведомлений о взаимном признании результатов поверки;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е)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выдаются заявителю средство измерений и свидетельство или извещение.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19.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Протокол поверки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и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копии свидетельства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хранятся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уполномоченной организацией в течение срока действия свидетельства, если иное не предусмотрено законодательством государства-члена.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20.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Копия протокола поверки может быть предоставлена заявителю по его запросу в порядке, предусмотренном внутренними процедурами уполномоченной организации.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lastRenderedPageBreak/>
        <w:t xml:space="preserve">21.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Оплата проведения поверки осуществляется заявителем на договорной основе с уполномоченной организацией.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22.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Свидетельство заполняется на русском языке и в случае наличия соответствующего требования в законодательстве государства-члена - на государственном языке государства-члена, в котором проводится поверка.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Заполнение свидетельства на русском языке и на государственном языке государства-члена осуществляется на разных сторонах свидетельства в соответствии с пунктом 25 настоящего Порядка.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При необходимости наименование типа средств измерений и сведения о заявителе могут указываться с использованием букв латинского алфавита.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При заполнении свидетельства использование сокращений слов (кроме общепринятых) и исправление текста не допускаются.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23.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В случае утраты или порчи свидетельства уполномоченной организацией выдается дубликат этого свидетельства. При этом в правом верхнем углу дубликата свидетельства производится запись: «Дубликат выдан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20</w:t>
      </w:r>
      <w:r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г.» с указанием номера и даты выдачи оригинала свидетельства.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В случае выявления в свидетельстве ошибок (опечаток) допускается его замена с указанием номера и даты выдачи заменяемого свидетельства.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24.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Все поля свидетельства должны быть заполнены (в оригинале свидетельства нумерация полей отсутствует).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25. </w:t>
      </w:r>
      <w:r w:rsidR="00F347FD" w:rsidRPr="00621F93">
        <w:rPr>
          <w:rStyle w:val="Bodytext101"/>
          <w:rFonts w:ascii="Sylfaen" w:hAnsi="Sylfaen"/>
          <w:sz w:val="24"/>
          <w:szCs w:val="24"/>
        </w:rPr>
        <w:t>В свидетельстве указываются: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а)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1 - надпись, выполненная в 1 строку: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«ЕВРАЗИЙСКИЙ ЭКОНОМИЧЕСКИЙ СОЮЗ»;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б)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2 - полное наименование уполномоченной организации;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в)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3 - сведения (наименование и номер) о документе, подтверждающем полномочия уполномоченной организации на проведение поверки, предусмотренном законодательством государства-члена;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г)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4 - надписи, выполненные в 2 строки: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1 -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я строка - «СВИДЕТЕЛЬСТВО»;</w:t>
      </w:r>
    </w:p>
    <w:p w:rsidR="00D976D0" w:rsidRPr="00621F93" w:rsidRDefault="00621F93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 xml:space="preserve">2 - </w:t>
      </w:r>
      <w:r w:rsidR="00F347FD" w:rsidRPr="00621F93">
        <w:rPr>
          <w:rStyle w:val="Bodytext101"/>
          <w:rFonts w:ascii="Sylfaen" w:hAnsi="Sylfaen"/>
          <w:sz w:val="24"/>
          <w:szCs w:val="24"/>
        </w:rPr>
        <w:t>я строка - «о поверке средства измерений»;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д)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5 - регистрационный номер свидетельства и дата его выдачи.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Регистрационный номер представляет собой цифро-буквенный код, каждая группа знаков которого отделяется точкой и формируется в следующем порядке: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 xml:space="preserve">первый и второй знаки - 2-значный буквенный код государства-члена в соответствии с международным стандартом </w:t>
      </w:r>
      <w:r w:rsidRPr="00621F93">
        <w:rPr>
          <w:rStyle w:val="Bodytext101"/>
          <w:rFonts w:ascii="Sylfaen" w:hAnsi="Sylfaen"/>
          <w:sz w:val="24"/>
          <w:szCs w:val="24"/>
          <w:lang w:val="en-US" w:eastAsia="en-US" w:bidi="en-US"/>
        </w:rPr>
        <w:t>ISO</w:t>
      </w:r>
      <w:r w:rsidR="00621F93" w:rsidRPr="00621F93">
        <w:rPr>
          <w:rStyle w:val="Bodytext101"/>
          <w:rFonts w:ascii="Sylfaen" w:hAnsi="Sylfaen"/>
          <w:sz w:val="24"/>
          <w:szCs w:val="24"/>
          <w:lang w:eastAsia="en-US" w:bidi="en-US"/>
        </w:rPr>
        <w:t xml:space="preserve"> </w:t>
      </w:r>
      <w:r w:rsidRPr="00621F93">
        <w:rPr>
          <w:rStyle w:val="Bodytext102"/>
          <w:rFonts w:ascii="Sylfaen" w:hAnsi="Sylfaen"/>
          <w:sz w:val="24"/>
          <w:szCs w:val="24"/>
        </w:rPr>
        <w:t>3166</w:t>
      </w:r>
      <w:r w:rsidRPr="00621F93">
        <w:rPr>
          <w:rStyle w:val="Bodytext1012pt"/>
          <w:rFonts w:ascii="Sylfaen" w:hAnsi="Sylfaen"/>
        </w:rPr>
        <w:t>-</w:t>
      </w:r>
      <w:r w:rsidRPr="00621F93">
        <w:rPr>
          <w:rStyle w:val="Bodytext102"/>
          <w:rFonts w:ascii="Sylfaen" w:hAnsi="Sylfaen"/>
          <w:sz w:val="24"/>
          <w:szCs w:val="24"/>
        </w:rPr>
        <w:t>1</w:t>
      </w:r>
      <w:r w:rsidRPr="00621F93">
        <w:rPr>
          <w:rStyle w:val="Bodytext1012pt"/>
          <w:rFonts w:ascii="Sylfaen" w:hAnsi="Sylfaen"/>
        </w:rPr>
        <w:t>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 xml:space="preserve">третий и последующие знаки - порядковый номер оформленного в текущем году свидетельства (количество цифр не ограничено), который формируется </w:t>
      </w:r>
      <w:r w:rsidRPr="00621F93">
        <w:rPr>
          <w:rStyle w:val="Bodytext101"/>
          <w:rFonts w:ascii="Sylfaen" w:hAnsi="Sylfaen"/>
          <w:sz w:val="24"/>
          <w:szCs w:val="24"/>
        </w:rPr>
        <w:lastRenderedPageBreak/>
        <w:t>последовательно с начала года (с номера 1).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Дата выдачи свидетельства указывается словесно-цифровым способом: число - двумя арабскими цифрами (в кавычках), месяц - словом, год - четырьмя арабскими цифрами (с указанием сокращенного обозначения года «г.»);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е)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6 - наименование, тип, регистрационный номер, диапазон измерений, класс точности и (или) погрешность средства измерений в соответствии с сертификатом об утверждении типа средств измерений;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ж)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7 - заводской номер средства измерений;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з)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8 - наименование заявителя, местонахождение (адрес) юридического лица, идентификационный номер (в случае если указание такого номера предусмотрено законодательством государства-члена) или фамилия, имя, отчество (при наличии), место жительства физического лица или физического лица, зарегистрированного в качестве индивидуального предпринимателя;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и)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9 - наименование и обозначение методики поверки;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к)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11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- срок действия свидетельства (указывается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словесно-цифровым способом: число - двумя арабскими цифрами (в кавычках), месяц - словом, год - четырьмя арабскими цифрами (с указанием сокращенного обозначения года «г.»));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л)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12 - знак поверки;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м)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13 - подпись, фамилия, имя, отчество (при наличии) лица уполномоченной организации, проводившего поверку;</w:t>
      </w:r>
    </w:p>
    <w:p w:rsidR="00621F93" w:rsidRDefault="00F347FD" w:rsidP="00621F93">
      <w:pPr>
        <w:pStyle w:val="Bodytext100"/>
        <w:shd w:val="clear" w:color="auto" w:fill="auto"/>
        <w:spacing w:before="0" w:after="120" w:line="240" w:lineRule="auto"/>
        <w:ind w:firstLine="567"/>
        <w:jc w:val="both"/>
        <w:rPr>
          <w:rStyle w:val="Bodytext101"/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н)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в поле 14 - должность, подпись, фамилия, имя, отчество (при наличии) руководителя структурного подразделения уполномоченной организации, выдавшей свидетельство.</w:t>
      </w:r>
    </w:p>
    <w:p w:rsidR="00621F93" w:rsidRDefault="00621F93">
      <w:pPr>
        <w:rPr>
          <w:rStyle w:val="Bodytext101"/>
          <w:rFonts w:ascii="Sylfaen" w:eastAsia="Sylfaen" w:hAnsi="Sylfaen"/>
          <w:sz w:val="24"/>
          <w:szCs w:val="24"/>
        </w:rPr>
      </w:pPr>
      <w:r>
        <w:rPr>
          <w:rStyle w:val="Bodytext101"/>
          <w:rFonts w:ascii="Sylfaen" w:eastAsia="Sylfaen" w:hAnsi="Sylfaen"/>
          <w:sz w:val="24"/>
          <w:szCs w:val="24"/>
        </w:rPr>
        <w:br w:type="page"/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left="5529" w:right="-8"/>
        <w:jc w:val="center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lastRenderedPageBreak/>
        <w:t>ПРИЛОЖЕНИЕ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left="5529" w:right="-8"/>
        <w:jc w:val="center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к Порядку организации поверки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средства измерений</w:t>
      </w:r>
    </w:p>
    <w:p w:rsidR="00621F93" w:rsidRPr="004426C0" w:rsidRDefault="00621F93" w:rsidP="00621F93">
      <w:pPr>
        <w:pStyle w:val="Bodytext30"/>
        <w:shd w:val="clear" w:color="auto" w:fill="auto"/>
        <w:spacing w:line="24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D976D0" w:rsidRPr="00621F93" w:rsidRDefault="00F347FD" w:rsidP="00621F9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621F93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D976D0" w:rsidRPr="00621F93" w:rsidRDefault="00F347FD" w:rsidP="00621F93">
      <w:pPr>
        <w:pStyle w:val="Bodytext30"/>
        <w:shd w:val="clear" w:color="auto" w:fill="auto"/>
        <w:spacing w:line="240" w:lineRule="auto"/>
        <w:ind w:left="20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свидетельства о поверке средства измерений</w:t>
      </w:r>
    </w:p>
    <w:p w:rsidR="00621F93" w:rsidRPr="004426C0" w:rsidRDefault="00621F93" w:rsidP="00621F93">
      <w:pPr>
        <w:pStyle w:val="Bodytext100"/>
        <w:shd w:val="clear" w:color="auto" w:fill="auto"/>
        <w:spacing w:before="0" w:after="120" w:line="240" w:lineRule="auto"/>
        <w:ind w:left="1820"/>
        <w:jc w:val="both"/>
        <w:rPr>
          <w:rStyle w:val="Bodytext101"/>
          <w:rFonts w:ascii="Sylfaen" w:hAnsi="Sylfaen"/>
          <w:sz w:val="24"/>
          <w:szCs w:val="24"/>
        </w:rPr>
      </w:pPr>
    </w:p>
    <w:p w:rsidR="00D976D0" w:rsidRPr="00621F93" w:rsidRDefault="00F347FD" w:rsidP="00BC3851">
      <w:pPr>
        <w:pStyle w:val="Bodytext100"/>
        <w:shd w:val="clear" w:color="auto" w:fill="auto"/>
        <w:spacing w:before="0" w:after="120" w:line="240" w:lineRule="auto"/>
        <w:ind w:left="2127"/>
        <w:jc w:val="center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ЕВРАЗИЙСКИЙ ЭКОНОМИЧЕСКИЙ СОЮЗ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="00BC3851">
        <w:rPr>
          <w:rStyle w:val="Bodytext101"/>
          <w:rFonts w:ascii="Sylfaen" w:hAnsi="Sylfaen"/>
          <w:sz w:val="24"/>
          <w:szCs w:val="24"/>
          <w:lang w:val="en-US"/>
        </w:rPr>
        <w:t xml:space="preserve">                            </w:t>
      </w:r>
      <w:r w:rsidRPr="00621F93">
        <w:rPr>
          <w:rStyle w:val="Bodytext101"/>
          <w:rFonts w:ascii="Sylfaen" w:hAnsi="Sylfaen"/>
          <w:sz w:val="24"/>
          <w:szCs w:val="24"/>
        </w:rPr>
        <w:t>(1)</w:t>
      </w:r>
    </w:p>
    <w:p w:rsidR="00D976D0" w:rsidRPr="00621F93" w:rsidRDefault="00F347FD" w:rsidP="00773F99">
      <w:pPr>
        <w:pStyle w:val="Bodytext60"/>
        <w:shd w:val="clear" w:color="auto" w:fill="auto"/>
        <w:spacing w:after="0" w:line="240" w:lineRule="auto"/>
        <w:ind w:left="221"/>
        <w:jc w:val="both"/>
        <w:rPr>
          <w:rFonts w:ascii="Sylfaen" w:hAnsi="Sylfaen"/>
        </w:rPr>
      </w:pPr>
      <w:r w:rsidRPr="00621F93">
        <w:rPr>
          <w:rStyle w:val="Bodytext61"/>
          <w:rFonts w:ascii="Sylfaen" w:hAnsi="Sylfaen"/>
        </w:rPr>
        <w:t>__________________________________</w:t>
      </w:r>
      <w:r w:rsidR="00773F99">
        <w:rPr>
          <w:rStyle w:val="Bodytext61"/>
          <w:rFonts w:ascii="Sylfaen" w:hAnsi="Sylfaen"/>
        </w:rPr>
        <w:t>_______________________________</w:t>
      </w:r>
      <w:r w:rsidR="00773F99" w:rsidRPr="004426C0">
        <w:rPr>
          <w:rStyle w:val="Bodytext61"/>
          <w:rFonts w:ascii="Sylfaen" w:hAnsi="Sylfaen"/>
        </w:rPr>
        <w:t xml:space="preserve">_____ </w:t>
      </w:r>
      <w:r w:rsidR="00BC0C80">
        <w:rPr>
          <w:rStyle w:val="Bodytext61"/>
          <w:rFonts w:ascii="Sylfaen" w:hAnsi="Sylfaen"/>
          <w:lang w:val="en-US"/>
        </w:rPr>
        <w:t xml:space="preserve"> </w:t>
      </w:r>
      <w:r w:rsidRPr="00621F93">
        <w:rPr>
          <w:rStyle w:val="Bodytext61"/>
          <w:rFonts w:ascii="Sylfaen" w:hAnsi="Sylfaen"/>
        </w:rPr>
        <w:t>(</w:t>
      </w:r>
      <w:r w:rsidRPr="00621F93">
        <w:rPr>
          <w:rStyle w:val="Bodytext6TimesNewRoman"/>
          <w:rFonts w:ascii="Sylfaen" w:eastAsia="Impact" w:hAnsi="Sylfaen"/>
          <w:sz w:val="24"/>
          <w:szCs w:val="24"/>
        </w:rPr>
        <w:t>2</w:t>
      </w:r>
      <w:r w:rsidRPr="00621F93">
        <w:rPr>
          <w:rStyle w:val="Bodytext61"/>
          <w:rFonts w:ascii="Sylfaen" w:hAnsi="Sylfaen"/>
        </w:rPr>
        <w:t>)</w:t>
      </w:r>
    </w:p>
    <w:p w:rsidR="00D976D0" w:rsidRPr="00773F99" w:rsidRDefault="00F347FD" w:rsidP="00773F99">
      <w:pPr>
        <w:pStyle w:val="Bodytext40"/>
        <w:shd w:val="clear" w:color="auto" w:fill="auto"/>
        <w:spacing w:before="0" w:after="120" w:line="240" w:lineRule="auto"/>
        <w:ind w:left="284"/>
        <w:jc w:val="both"/>
        <w:rPr>
          <w:rFonts w:ascii="Sylfaen" w:hAnsi="Sylfaen"/>
          <w:sz w:val="22"/>
          <w:szCs w:val="24"/>
        </w:rPr>
      </w:pPr>
      <w:r w:rsidRPr="00773F99">
        <w:rPr>
          <w:rFonts w:ascii="Sylfaen" w:hAnsi="Sylfaen"/>
          <w:sz w:val="18"/>
          <w:szCs w:val="24"/>
        </w:rPr>
        <w:t>(полное наименование организации, уполномоченной на проведение поверки средств измерений)</w:t>
      </w:r>
    </w:p>
    <w:p w:rsidR="00D976D0" w:rsidRPr="00621F93" w:rsidRDefault="00F347FD" w:rsidP="00773F99">
      <w:pPr>
        <w:pStyle w:val="Bodytext150"/>
        <w:shd w:val="clear" w:color="auto" w:fill="auto"/>
        <w:spacing w:before="0" w:after="0" w:line="240" w:lineRule="auto"/>
        <w:ind w:left="221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_______________________________________________________________</w:t>
      </w:r>
      <w:r w:rsidR="00773F99" w:rsidRPr="004426C0">
        <w:rPr>
          <w:rFonts w:ascii="Sylfaen" w:hAnsi="Sylfaen"/>
          <w:sz w:val="24"/>
          <w:szCs w:val="24"/>
        </w:rPr>
        <w:t>_______</w:t>
      </w:r>
      <w:r w:rsidRPr="00621F93">
        <w:rPr>
          <w:rFonts w:ascii="Sylfaen" w:hAnsi="Sylfaen"/>
          <w:sz w:val="24"/>
          <w:szCs w:val="24"/>
        </w:rPr>
        <w:t xml:space="preserve"> </w:t>
      </w:r>
      <w:r w:rsidR="00BC0C80">
        <w:rPr>
          <w:rFonts w:ascii="Sylfaen" w:hAnsi="Sylfaen"/>
          <w:sz w:val="24"/>
          <w:szCs w:val="24"/>
          <w:lang w:val="en-US"/>
        </w:rPr>
        <w:t xml:space="preserve">  </w:t>
      </w:r>
      <w:r w:rsidRPr="00621F93">
        <w:rPr>
          <w:rFonts w:ascii="Sylfaen" w:hAnsi="Sylfaen"/>
          <w:sz w:val="24"/>
          <w:szCs w:val="24"/>
        </w:rPr>
        <w:t>3)</w:t>
      </w:r>
    </w:p>
    <w:p w:rsidR="00D976D0" w:rsidRPr="00773F99" w:rsidRDefault="00F347FD" w:rsidP="00621F93">
      <w:pPr>
        <w:pStyle w:val="Bodytext40"/>
        <w:shd w:val="clear" w:color="auto" w:fill="auto"/>
        <w:spacing w:before="0" w:after="120" w:line="240" w:lineRule="auto"/>
        <w:ind w:left="1960"/>
        <w:jc w:val="both"/>
        <w:rPr>
          <w:rFonts w:ascii="Sylfaen" w:hAnsi="Sylfaen"/>
          <w:sz w:val="18"/>
          <w:szCs w:val="24"/>
        </w:rPr>
      </w:pPr>
      <w:r w:rsidRPr="00773F99">
        <w:rPr>
          <w:rFonts w:ascii="Sylfaen" w:hAnsi="Sylfaen"/>
          <w:sz w:val="18"/>
          <w:szCs w:val="24"/>
        </w:rPr>
        <w:t>(документ, подтверждающий полномочия на проведение поверки)</w:t>
      </w:r>
    </w:p>
    <w:p w:rsidR="00773F99" w:rsidRPr="004426C0" w:rsidRDefault="00773F99" w:rsidP="00621F93">
      <w:pPr>
        <w:pStyle w:val="Tableofcontents20"/>
        <w:shd w:val="clear" w:color="auto" w:fill="auto"/>
        <w:spacing w:before="0" w:after="120" w:line="240" w:lineRule="auto"/>
        <w:ind w:left="3240"/>
        <w:rPr>
          <w:rFonts w:ascii="Sylfaen" w:hAnsi="Sylfaen"/>
          <w:sz w:val="24"/>
          <w:szCs w:val="24"/>
        </w:rPr>
      </w:pPr>
    </w:p>
    <w:p w:rsidR="00D976D0" w:rsidRPr="00621F93" w:rsidRDefault="00F347FD" w:rsidP="00B36215">
      <w:pPr>
        <w:pStyle w:val="Tableofcontents20"/>
        <w:shd w:val="clear" w:color="auto" w:fill="auto"/>
        <w:spacing w:before="0" w:line="240" w:lineRule="auto"/>
        <w:jc w:val="center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СВИДЕТЕЛЬСТВО</w:t>
      </w:r>
    </w:p>
    <w:p w:rsidR="00D976D0" w:rsidRPr="00B36215" w:rsidRDefault="00F347FD" w:rsidP="00B36215">
      <w:pPr>
        <w:pStyle w:val="Tableofcontents20"/>
        <w:shd w:val="clear" w:color="auto" w:fill="auto"/>
        <w:spacing w:before="0" w:after="120" w:line="240" w:lineRule="auto"/>
        <w:ind w:firstLine="2835"/>
        <w:jc w:val="center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о поверке средства измерений</w:t>
      </w:r>
      <w:r w:rsidR="00B36215" w:rsidRPr="00B36215">
        <w:rPr>
          <w:rFonts w:ascii="Sylfaen" w:hAnsi="Sylfaen"/>
          <w:sz w:val="24"/>
          <w:szCs w:val="24"/>
        </w:rPr>
        <w:t xml:space="preserve"> </w:t>
      </w:r>
      <w:r w:rsidR="00B36215">
        <w:rPr>
          <w:rFonts w:ascii="Sylfaen" w:hAnsi="Sylfaen"/>
          <w:sz w:val="24"/>
          <w:szCs w:val="24"/>
        </w:rPr>
        <w:t xml:space="preserve">             </w:t>
      </w:r>
      <w:r w:rsidR="00B36215">
        <w:rPr>
          <w:rFonts w:ascii="Sylfaen" w:hAnsi="Sylfaen"/>
          <w:sz w:val="24"/>
          <w:szCs w:val="24"/>
          <w:lang w:val="en-US"/>
        </w:rPr>
        <w:t xml:space="preserve">                    </w:t>
      </w:r>
      <w:r w:rsidR="00B36215" w:rsidRPr="00B36215">
        <w:rPr>
          <w:rFonts w:ascii="Sylfaen" w:hAnsi="Sylfaen"/>
          <w:sz w:val="24"/>
          <w:szCs w:val="24"/>
        </w:rPr>
        <w:t xml:space="preserve">           </w:t>
      </w:r>
      <w:r w:rsidR="00AA73B1" w:rsidRPr="00621F93">
        <w:rPr>
          <w:rFonts w:ascii="Sylfaen" w:hAnsi="Sylfaen"/>
          <w:sz w:val="24"/>
          <w:szCs w:val="24"/>
        </w:rPr>
        <w:t>(</w:t>
      </w:r>
      <w:r w:rsidR="00B36215" w:rsidRPr="00621F93">
        <w:rPr>
          <w:rFonts w:ascii="Sylfaen" w:hAnsi="Sylfaen"/>
          <w:sz w:val="24"/>
          <w:szCs w:val="24"/>
        </w:rPr>
        <w:t>4)</w:t>
      </w:r>
    </w:p>
    <w:p w:rsidR="00D976D0" w:rsidRPr="00621F93" w:rsidRDefault="00F347FD" w:rsidP="00621F93">
      <w:pPr>
        <w:pStyle w:val="Tableofcontents20"/>
        <w:shd w:val="clear" w:color="auto" w:fill="auto"/>
        <w:spacing w:before="0" w:after="120" w:line="240" w:lineRule="auto"/>
        <w:ind w:left="1960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№</w:t>
      </w:r>
      <w:r w:rsidR="00B36215" w:rsidRPr="00B36215">
        <w:rPr>
          <w:rFonts w:ascii="Sylfaen" w:hAnsi="Sylfaen"/>
          <w:sz w:val="24"/>
          <w:szCs w:val="24"/>
        </w:rPr>
        <w:t xml:space="preserve"> ________ </w:t>
      </w:r>
      <w:r w:rsidRPr="00621F93">
        <w:rPr>
          <w:rFonts w:ascii="Sylfaen" w:hAnsi="Sylfaen"/>
          <w:sz w:val="24"/>
          <w:szCs w:val="24"/>
        </w:rPr>
        <w:t>от «____»</w:t>
      </w:r>
      <w:r w:rsidR="00B36215" w:rsidRPr="00B36215">
        <w:rPr>
          <w:rFonts w:ascii="Sylfaen" w:hAnsi="Sylfaen"/>
          <w:sz w:val="24"/>
          <w:szCs w:val="24"/>
        </w:rPr>
        <w:t xml:space="preserve"> </w:t>
      </w:r>
      <w:r w:rsidR="00B36215">
        <w:rPr>
          <w:rFonts w:ascii="Sylfaen" w:hAnsi="Sylfaen"/>
          <w:sz w:val="24"/>
          <w:szCs w:val="24"/>
        </w:rPr>
        <w:t>__________</w:t>
      </w:r>
      <w:r w:rsidRPr="00621F9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21F93">
        <w:rPr>
          <w:rFonts w:ascii="Sylfaen" w:hAnsi="Sylfaen"/>
          <w:sz w:val="24"/>
          <w:szCs w:val="24"/>
        </w:rPr>
        <w:t>г.</w:t>
      </w:r>
      <w:r w:rsidR="00B36215" w:rsidRPr="00B36215">
        <w:rPr>
          <w:rFonts w:ascii="Sylfaen" w:hAnsi="Sylfaen"/>
          <w:sz w:val="24"/>
          <w:szCs w:val="24"/>
        </w:rPr>
        <w:t xml:space="preserve">                                                  </w:t>
      </w:r>
      <w:r w:rsidR="00621F93" w:rsidRPr="00621F93">
        <w:rPr>
          <w:rFonts w:ascii="Sylfaen" w:hAnsi="Sylfaen"/>
          <w:sz w:val="24"/>
          <w:szCs w:val="24"/>
        </w:rPr>
        <w:t xml:space="preserve"> </w:t>
      </w:r>
      <w:r w:rsidRPr="00621F93">
        <w:rPr>
          <w:rFonts w:ascii="Sylfaen" w:hAnsi="Sylfaen"/>
          <w:sz w:val="24"/>
          <w:szCs w:val="24"/>
        </w:rPr>
        <w:t>(5)</w:t>
      </w:r>
    </w:p>
    <w:p w:rsidR="00D976D0" w:rsidRPr="00621F93" w:rsidRDefault="00F347FD" w:rsidP="00773F99">
      <w:pPr>
        <w:pStyle w:val="Tableofcontents30"/>
        <w:shd w:val="clear" w:color="auto" w:fill="auto"/>
        <w:spacing w:before="0" w:after="0" w:line="240" w:lineRule="auto"/>
        <w:ind w:left="221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____________________________________________________________</w:t>
      </w:r>
      <w:r w:rsidR="00773F99" w:rsidRPr="004426C0">
        <w:rPr>
          <w:rFonts w:ascii="Sylfaen" w:hAnsi="Sylfaen"/>
          <w:sz w:val="24"/>
          <w:szCs w:val="24"/>
        </w:rPr>
        <w:t>__________</w:t>
      </w:r>
      <w:r w:rsidRPr="00621F93">
        <w:rPr>
          <w:rFonts w:ascii="Sylfaen" w:hAnsi="Sylfaen"/>
          <w:sz w:val="24"/>
          <w:szCs w:val="24"/>
        </w:rPr>
        <w:t>, (</w:t>
      </w:r>
      <w:r w:rsidRPr="00621F93">
        <w:rPr>
          <w:rStyle w:val="Tableofcontents3TimesNewRoman"/>
          <w:rFonts w:ascii="Sylfaen" w:eastAsia="Impact" w:hAnsi="Sylfaen"/>
          <w:sz w:val="24"/>
          <w:szCs w:val="24"/>
        </w:rPr>
        <w:t>6</w:t>
      </w:r>
      <w:r w:rsidRPr="00621F93">
        <w:rPr>
          <w:rFonts w:ascii="Sylfaen" w:hAnsi="Sylfaen"/>
          <w:sz w:val="24"/>
          <w:szCs w:val="24"/>
        </w:rPr>
        <w:t>)</w:t>
      </w:r>
    </w:p>
    <w:p w:rsidR="00D976D0" w:rsidRPr="00621F93" w:rsidRDefault="00F347FD" w:rsidP="00773F99">
      <w:pPr>
        <w:pStyle w:val="Tableofcontents0"/>
        <w:shd w:val="clear" w:color="auto" w:fill="auto"/>
        <w:spacing w:before="0" w:after="120" w:line="240" w:lineRule="auto"/>
        <w:ind w:left="284"/>
        <w:rPr>
          <w:rFonts w:ascii="Sylfaen" w:hAnsi="Sylfaen"/>
          <w:sz w:val="24"/>
          <w:szCs w:val="24"/>
        </w:rPr>
      </w:pPr>
      <w:r w:rsidRPr="00773F99">
        <w:rPr>
          <w:rFonts w:ascii="Sylfaen" w:hAnsi="Sylfaen"/>
          <w:sz w:val="18"/>
          <w:szCs w:val="24"/>
        </w:rPr>
        <w:t>(наименование, тип, регистрационный номер, диапазон измерений, класс точности и (или)</w:t>
      </w:r>
      <w:r w:rsidR="00773F99" w:rsidRPr="00773F99">
        <w:rPr>
          <w:rFonts w:ascii="Sylfaen" w:hAnsi="Sylfaen"/>
          <w:sz w:val="18"/>
          <w:szCs w:val="24"/>
        </w:rPr>
        <w:t xml:space="preserve"> </w:t>
      </w:r>
      <w:r w:rsidRPr="00773F99">
        <w:rPr>
          <w:rFonts w:ascii="Sylfaen" w:hAnsi="Sylfaen"/>
          <w:sz w:val="18"/>
          <w:szCs w:val="24"/>
        </w:rPr>
        <w:t>погрешность средства измерений)</w:t>
      </w:r>
    </w:p>
    <w:p w:rsidR="00D976D0" w:rsidRPr="00B36215" w:rsidRDefault="00F347FD" w:rsidP="00773F99">
      <w:pPr>
        <w:pStyle w:val="Tableofcontents20"/>
        <w:shd w:val="clear" w:color="auto" w:fill="auto"/>
        <w:spacing w:before="0" w:after="120" w:line="240" w:lineRule="auto"/>
        <w:ind w:left="220"/>
        <w:rPr>
          <w:rFonts w:ascii="Sylfaen" w:hAnsi="Sylfaen"/>
          <w:sz w:val="24"/>
          <w:szCs w:val="24"/>
        </w:rPr>
      </w:pPr>
      <w:r w:rsidRPr="00621F93">
        <w:rPr>
          <w:rFonts w:ascii="Sylfaen" w:hAnsi="Sylfaen"/>
          <w:sz w:val="24"/>
          <w:szCs w:val="24"/>
        </w:rPr>
        <w:t>заводской номер</w:t>
      </w:r>
      <w:r w:rsidR="00B36215" w:rsidRPr="00B36215">
        <w:rPr>
          <w:rFonts w:ascii="Sylfaen" w:hAnsi="Sylfaen"/>
          <w:sz w:val="24"/>
          <w:szCs w:val="24"/>
        </w:rPr>
        <w:t xml:space="preserve"> _______________</w:t>
      </w:r>
      <w:r w:rsidRPr="00621F93">
        <w:rPr>
          <w:rFonts w:ascii="Sylfaen" w:hAnsi="Sylfaen"/>
          <w:sz w:val="24"/>
          <w:szCs w:val="24"/>
        </w:rPr>
        <w:t>,</w:t>
      </w:r>
      <w:r w:rsidR="00FC4D98" w:rsidRPr="00621F93">
        <w:rPr>
          <w:rFonts w:ascii="Sylfaen" w:hAnsi="Sylfaen"/>
          <w:sz w:val="24"/>
          <w:szCs w:val="24"/>
        </w:rPr>
        <w:t xml:space="preserve"> </w:t>
      </w:r>
      <w:r w:rsidR="00BC0C80" w:rsidRPr="00BC0C80">
        <w:rPr>
          <w:rFonts w:ascii="Sylfaen" w:hAnsi="Sylfaen"/>
          <w:sz w:val="24"/>
          <w:szCs w:val="24"/>
        </w:rPr>
        <w:t xml:space="preserve">                                                                                </w:t>
      </w:r>
      <w:r w:rsidR="00FC4D98" w:rsidRPr="00621F93">
        <w:rPr>
          <w:rFonts w:ascii="Sylfaen" w:hAnsi="Sylfaen"/>
          <w:sz w:val="24"/>
          <w:szCs w:val="24"/>
        </w:rPr>
        <w:t>(7)</w:t>
      </w:r>
    </w:p>
    <w:p w:rsidR="00D976D0" w:rsidRPr="00B36215" w:rsidRDefault="00F347FD" w:rsidP="00773F99">
      <w:pPr>
        <w:pStyle w:val="Bodytext100"/>
        <w:shd w:val="clear" w:color="auto" w:fill="auto"/>
        <w:spacing w:before="0" w:after="120" w:line="240" w:lineRule="auto"/>
        <w:ind w:left="220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принадлежащее</w:t>
      </w:r>
      <w:r w:rsidR="00B36215" w:rsidRPr="00B36215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__________________________________</w:t>
      </w:r>
      <w:r w:rsidR="00FC4D98" w:rsidRPr="00BC0C80">
        <w:rPr>
          <w:rStyle w:val="Bodytext101"/>
          <w:rFonts w:ascii="Sylfaen" w:hAnsi="Sylfaen"/>
          <w:sz w:val="24"/>
          <w:szCs w:val="24"/>
        </w:rPr>
        <w:t xml:space="preserve"> </w:t>
      </w:r>
      <w:r w:rsidR="00B36215">
        <w:rPr>
          <w:rStyle w:val="Bodytext101"/>
          <w:rFonts w:ascii="Sylfaen" w:hAnsi="Sylfaen"/>
          <w:sz w:val="24"/>
          <w:szCs w:val="24"/>
        </w:rPr>
        <w:t xml:space="preserve">    </w:t>
      </w:r>
      <w:r w:rsidR="00BC0C80" w:rsidRPr="00BC0C80">
        <w:rPr>
          <w:rStyle w:val="Bodytext101"/>
          <w:rFonts w:ascii="Sylfaen" w:hAnsi="Sylfaen"/>
          <w:sz w:val="24"/>
          <w:szCs w:val="24"/>
        </w:rPr>
        <w:t xml:space="preserve">                                   </w:t>
      </w:r>
      <w:r w:rsidR="00B36215" w:rsidRPr="00B36215">
        <w:rPr>
          <w:rStyle w:val="Bodytext101"/>
          <w:rFonts w:ascii="Sylfaen" w:hAnsi="Sylfaen"/>
          <w:sz w:val="24"/>
          <w:szCs w:val="24"/>
        </w:rPr>
        <w:t xml:space="preserve"> </w:t>
      </w:r>
      <w:r w:rsidR="00BC0C80" w:rsidRPr="00BC0C80">
        <w:rPr>
          <w:rStyle w:val="Bodytext101"/>
          <w:rFonts w:ascii="Sylfaen" w:hAnsi="Sylfaen"/>
          <w:sz w:val="24"/>
          <w:szCs w:val="24"/>
        </w:rPr>
        <w:t xml:space="preserve">    </w:t>
      </w:r>
      <w:r w:rsidR="00FC4D98" w:rsidRPr="00621F93">
        <w:rPr>
          <w:rStyle w:val="Bodytext71"/>
          <w:rFonts w:ascii="Sylfaen" w:hAnsi="Sylfaen"/>
        </w:rPr>
        <w:t>(</w:t>
      </w:r>
      <w:r w:rsidR="00FC4D98" w:rsidRPr="00621F93">
        <w:rPr>
          <w:rStyle w:val="Bodytext711pt"/>
          <w:rFonts w:ascii="Sylfaen" w:hAnsi="Sylfaen"/>
          <w:sz w:val="24"/>
          <w:szCs w:val="24"/>
        </w:rPr>
        <w:t>8</w:t>
      </w:r>
      <w:r w:rsidR="00FC4D98" w:rsidRPr="00621F93">
        <w:rPr>
          <w:rStyle w:val="Bodytext71"/>
          <w:rFonts w:ascii="Sylfaen" w:hAnsi="Sylfaen"/>
        </w:rPr>
        <w:t>)</w:t>
      </w:r>
    </w:p>
    <w:p w:rsidR="00FC4D98" w:rsidRPr="00BC0C80" w:rsidRDefault="00F347FD" w:rsidP="00621F93">
      <w:pPr>
        <w:pStyle w:val="Bodytext100"/>
        <w:shd w:val="clear" w:color="auto" w:fill="auto"/>
        <w:spacing w:before="0" w:after="120" w:line="240" w:lineRule="auto"/>
        <w:ind w:left="220"/>
        <w:jc w:val="both"/>
        <w:rPr>
          <w:rStyle w:val="Bodytext101"/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Поверка проведена в соответствии с методикой поверки</w:t>
      </w:r>
      <w:r w:rsidR="00B36215" w:rsidRPr="00B36215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___________</w:t>
      </w:r>
      <w:r w:rsidR="00BC0C80" w:rsidRPr="00BC0C80">
        <w:rPr>
          <w:rStyle w:val="Bodytext101"/>
          <w:rFonts w:ascii="Sylfaen" w:hAnsi="Sylfaen"/>
          <w:sz w:val="24"/>
          <w:szCs w:val="24"/>
        </w:rPr>
        <w:t xml:space="preserve">                    </w:t>
      </w:r>
      <w:r w:rsidR="00FC4D98" w:rsidRPr="00621F93">
        <w:rPr>
          <w:rStyle w:val="Bodytext101"/>
          <w:rFonts w:ascii="Sylfaen" w:hAnsi="Sylfaen"/>
          <w:sz w:val="24"/>
          <w:szCs w:val="24"/>
        </w:rPr>
        <w:t>(9)</w:t>
      </w:r>
    </w:p>
    <w:p w:rsidR="00D976D0" w:rsidRPr="00621F93" w:rsidRDefault="00F347FD" w:rsidP="00621F93">
      <w:pPr>
        <w:pStyle w:val="Bodytext100"/>
        <w:shd w:val="clear" w:color="auto" w:fill="auto"/>
        <w:spacing w:before="0" w:after="120" w:line="240" w:lineRule="auto"/>
        <w:ind w:left="220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На основании результатов поверки признано, что средство</w:t>
      </w:r>
      <w:r w:rsidR="00FC4D98" w:rsidRPr="00FC4D98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измерений соответствует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обязательным</w:t>
      </w:r>
      <w:r w:rsidR="00621F93" w:rsidRPr="00621F93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метрологическим</w:t>
      </w:r>
      <w:r w:rsidR="00FC4D98" w:rsidRPr="00FC4D98">
        <w:rPr>
          <w:rStyle w:val="Bodytext101"/>
          <w:rFonts w:ascii="Sylfaen" w:hAnsi="Sylfaen"/>
          <w:sz w:val="24"/>
          <w:szCs w:val="24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требованиям.</w:t>
      </w:r>
      <w:r w:rsidR="00FC4D98" w:rsidRPr="00FC4D98">
        <w:rPr>
          <w:rFonts w:ascii="Sylfaen" w:hAnsi="Sylfaen"/>
          <w:sz w:val="24"/>
          <w:szCs w:val="24"/>
        </w:rPr>
        <w:t xml:space="preserve"> </w:t>
      </w:r>
      <w:r w:rsidR="00BC0C80" w:rsidRPr="00BC0C80">
        <w:rPr>
          <w:rFonts w:ascii="Sylfaen" w:hAnsi="Sylfaen"/>
          <w:sz w:val="24"/>
          <w:szCs w:val="24"/>
        </w:rPr>
        <w:t xml:space="preserve">                                 </w:t>
      </w:r>
      <w:r w:rsidR="00FC4D98" w:rsidRPr="00FC4D98">
        <w:rPr>
          <w:rFonts w:ascii="Sylfaen" w:hAnsi="Sylfaen"/>
          <w:sz w:val="24"/>
          <w:szCs w:val="24"/>
        </w:rPr>
        <w:t>(10)</w:t>
      </w:r>
    </w:p>
    <w:p w:rsidR="00D976D0" w:rsidRPr="00BC0C80" w:rsidRDefault="00F347FD" w:rsidP="00621F93">
      <w:pPr>
        <w:pStyle w:val="Bodytext100"/>
        <w:shd w:val="clear" w:color="auto" w:fill="auto"/>
        <w:spacing w:before="0" w:after="120" w:line="240" w:lineRule="auto"/>
        <w:ind w:left="220"/>
        <w:jc w:val="both"/>
        <w:rPr>
          <w:rFonts w:ascii="Sylfaen" w:hAnsi="Sylfaen"/>
          <w:sz w:val="24"/>
          <w:szCs w:val="24"/>
        </w:rPr>
      </w:pPr>
      <w:r w:rsidRPr="00621F93">
        <w:rPr>
          <w:rStyle w:val="Bodytext101"/>
          <w:rFonts w:ascii="Sylfaen" w:hAnsi="Sylfaen"/>
          <w:sz w:val="24"/>
          <w:szCs w:val="24"/>
        </w:rPr>
        <w:t>Срок действия до «____»___________</w:t>
      </w:r>
      <w:r w:rsidRPr="00621F93">
        <w:rPr>
          <w:rStyle w:val="Bodytext101"/>
          <w:rFonts w:ascii="Sylfaen" w:hAnsi="Sylfaen"/>
          <w:sz w:val="24"/>
          <w:szCs w:val="24"/>
          <w:lang w:eastAsia="en-US" w:bidi="en-US"/>
        </w:rPr>
        <w:t xml:space="preserve"> </w:t>
      </w:r>
      <w:r w:rsidRPr="00621F93">
        <w:rPr>
          <w:rStyle w:val="Bodytext101"/>
          <w:rFonts w:ascii="Sylfaen" w:hAnsi="Sylfaen"/>
          <w:sz w:val="24"/>
          <w:szCs w:val="24"/>
        </w:rPr>
        <w:t>г</w:t>
      </w:r>
      <w:r w:rsidR="00B36215" w:rsidRPr="00621F93">
        <w:rPr>
          <w:rStyle w:val="Bodytext101"/>
          <w:rFonts w:ascii="Sylfaen" w:hAnsi="Sylfaen"/>
          <w:sz w:val="24"/>
          <w:szCs w:val="24"/>
        </w:rPr>
        <w:t>.</w:t>
      </w:r>
      <w:r w:rsidR="00BC0C80" w:rsidRPr="00BC0C80">
        <w:rPr>
          <w:rStyle w:val="Bodytext101"/>
          <w:rFonts w:ascii="Sylfaen" w:hAnsi="Sylfaen"/>
          <w:sz w:val="24"/>
          <w:szCs w:val="24"/>
        </w:rPr>
        <w:t xml:space="preserve">                                                               </w:t>
      </w:r>
      <w:r w:rsidR="00B36215">
        <w:rPr>
          <w:rStyle w:val="Bodytext101"/>
          <w:rFonts w:ascii="Sylfaen" w:hAnsi="Sylfaen"/>
          <w:sz w:val="24"/>
          <w:szCs w:val="24"/>
          <w:lang w:val="en-US"/>
        </w:rPr>
        <w:t xml:space="preserve"> </w:t>
      </w:r>
      <w:r w:rsidR="00BC0C80" w:rsidRPr="00BC0C80">
        <w:rPr>
          <w:rStyle w:val="Bodytext101"/>
          <w:rFonts w:ascii="Sylfaen" w:hAnsi="Sylfaen"/>
          <w:sz w:val="24"/>
          <w:szCs w:val="24"/>
        </w:rPr>
        <w:t xml:space="preserve">       </w:t>
      </w:r>
      <w:r w:rsidR="00FC4D98" w:rsidRPr="00BC0C80">
        <w:rPr>
          <w:rStyle w:val="Bodytext101"/>
          <w:rFonts w:ascii="Sylfaen" w:hAnsi="Sylfaen"/>
          <w:sz w:val="24"/>
          <w:szCs w:val="24"/>
        </w:rPr>
        <w:t>(11)</w:t>
      </w:r>
    </w:p>
    <w:p w:rsidR="00D976D0" w:rsidRPr="00621F93" w:rsidRDefault="00E56326" w:rsidP="00773F99">
      <w:pPr>
        <w:pStyle w:val="Bodytext100"/>
        <w:shd w:val="clear" w:color="auto" w:fill="auto"/>
        <w:spacing w:before="0" w:after="120" w:line="240" w:lineRule="auto"/>
        <w:ind w:left="5670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pict>
          <v:rect id="_x0000_s1026" style="position:absolute;left:0;text-align:left;margin-left:2.6pt;margin-top:19.85pt;width:45.75pt;height:42pt;z-index:251658240">
            <v:textbox style="mso-next-textbox:#_x0000_s1026">
              <w:txbxContent>
                <w:p w:rsidR="004426C0" w:rsidRDefault="004426C0"/>
              </w:txbxContent>
            </v:textbox>
          </v:rect>
        </w:pict>
      </w:r>
    </w:p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4458"/>
        <w:gridCol w:w="567"/>
        <w:gridCol w:w="1960"/>
        <w:gridCol w:w="549"/>
      </w:tblGrid>
      <w:tr w:rsidR="00AA73B1" w:rsidTr="00AA73B1">
        <w:tc>
          <w:tcPr>
            <w:tcW w:w="504" w:type="dxa"/>
            <w:vMerge w:val="restart"/>
            <w:vAlign w:val="center"/>
          </w:tcPr>
          <w:p w:rsidR="00AA73B1" w:rsidRPr="00AA73B1" w:rsidRDefault="00AA73B1" w:rsidP="00AA73B1">
            <w:pPr>
              <w:pStyle w:val="Bodytext40"/>
              <w:shd w:val="clear" w:color="auto" w:fill="auto"/>
              <w:spacing w:before="0" w:after="0" w:line="240" w:lineRule="auto"/>
              <w:ind w:left="-108" w:right="-108"/>
              <w:rPr>
                <w:rFonts w:ascii="Sylfaen" w:hAnsi="Sylfaen"/>
                <w:sz w:val="24"/>
                <w:szCs w:val="24"/>
                <w:lang w:val="en-US" w:eastAsia="en-US" w:bidi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(12)</w:t>
            </w:r>
          </w:p>
        </w:tc>
        <w:tc>
          <w:tcPr>
            <w:tcW w:w="4458" w:type="dxa"/>
          </w:tcPr>
          <w:p w:rsidR="00AA73B1" w:rsidRDefault="00AA73B1" w:rsidP="004426C0">
            <w:pPr>
              <w:pStyle w:val="Bodytext40"/>
              <w:shd w:val="clear" w:color="auto" w:fill="auto"/>
              <w:spacing w:before="0" w:after="0" w:line="240" w:lineRule="auto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A73B1" w:rsidRDefault="00AA73B1" w:rsidP="004426C0">
            <w:pPr>
              <w:pStyle w:val="Bodytext40"/>
              <w:shd w:val="clear" w:color="auto" w:fill="auto"/>
              <w:spacing w:before="0" w:after="0" w:line="240" w:lineRule="auto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</w:p>
        </w:tc>
        <w:tc>
          <w:tcPr>
            <w:tcW w:w="1960" w:type="dxa"/>
          </w:tcPr>
          <w:p w:rsidR="00AA73B1" w:rsidRDefault="00AA73B1" w:rsidP="004426C0">
            <w:pPr>
              <w:pStyle w:val="Bodytext40"/>
              <w:shd w:val="clear" w:color="auto" w:fill="auto"/>
              <w:spacing w:before="0" w:after="0" w:line="240" w:lineRule="auto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</w:p>
        </w:tc>
        <w:tc>
          <w:tcPr>
            <w:tcW w:w="549" w:type="dxa"/>
            <w:vMerge w:val="restart"/>
          </w:tcPr>
          <w:p w:rsidR="00AA73B1" w:rsidRDefault="00AA73B1" w:rsidP="00AA73B1">
            <w:pPr>
              <w:pStyle w:val="Bodytext40"/>
              <w:shd w:val="clear" w:color="auto" w:fill="auto"/>
              <w:spacing w:before="0" w:after="0" w:line="240" w:lineRule="auto"/>
              <w:ind w:left="-84" w:right="-8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621F93">
              <w:rPr>
                <w:rFonts w:ascii="Sylfaen" w:hAnsi="Sylfaen"/>
                <w:sz w:val="24"/>
                <w:szCs w:val="24"/>
              </w:rPr>
              <w:t>(13)</w:t>
            </w:r>
          </w:p>
        </w:tc>
      </w:tr>
      <w:tr w:rsidR="00AA73B1" w:rsidTr="00AA73B1">
        <w:tc>
          <w:tcPr>
            <w:tcW w:w="504" w:type="dxa"/>
            <w:vMerge/>
          </w:tcPr>
          <w:p w:rsidR="00AA73B1" w:rsidRPr="004426C0" w:rsidRDefault="00AA73B1" w:rsidP="004426C0">
            <w:pPr>
              <w:pStyle w:val="Bodytext40"/>
              <w:shd w:val="clear" w:color="auto" w:fill="auto"/>
              <w:spacing w:before="0" w:after="0" w:line="240" w:lineRule="auto"/>
              <w:jc w:val="both"/>
              <w:rPr>
                <w:rFonts w:ascii="Sylfaen" w:hAnsi="Sylfaen"/>
                <w:sz w:val="16"/>
                <w:szCs w:val="24"/>
              </w:rPr>
            </w:pPr>
          </w:p>
        </w:tc>
        <w:tc>
          <w:tcPr>
            <w:tcW w:w="4458" w:type="dxa"/>
          </w:tcPr>
          <w:p w:rsidR="00AA73B1" w:rsidRDefault="00AA73B1" w:rsidP="004426C0">
            <w:pPr>
              <w:pStyle w:val="Bodytext40"/>
              <w:shd w:val="clear" w:color="auto" w:fill="auto"/>
              <w:spacing w:before="0" w:after="0" w:line="240" w:lineRule="auto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4426C0">
              <w:rPr>
                <w:rFonts w:ascii="Sylfaen" w:hAnsi="Sylfaen"/>
                <w:sz w:val="16"/>
                <w:szCs w:val="24"/>
              </w:rPr>
              <w:t>(подпись лица уполномоченной организации, проводившего</w:t>
            </w:r>
            <w:r w:rsidRPr="004426C0">
              <w:rPr>
                <w:rFonts w:ascii="Sylfaen" w:hAnsi="Sylfaen"/>
                <w:sz w:val="16"/>
                <w:szCs w:val="24"/>
                <w:lang w:eastAsia="en-US" w:bidi="en-US"/>
              </w:rPr>
              <w:t xml:space="preserve"> </w:t>
            </w:r>
            <w:r w:rsidRPr="004426C0">
              <w:rPr>
                <w:rFonts w:ascii="Sylfaen" w:hAnsi="Sylfaen"/>
                <w:sz w:val="16"/>
                <w:szCs w:val="24"/>
              </w:rPr>
              <w:t>поверку)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A73B1" w:rsidRDefault="00AA73B1" w:rsidP="004426C0">
            <w:pPr>
              <w:pStyle w:val="Bodytext40"/>
              <w:shd w:val="clear" w:color="auto" w:fill="auto"/>
              <w:spacing w:before="0" w:after="0" w:line="240" w:lineRule="auto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</w:p>
        </w:tc>
        <w:tc>
          <w:tcPr>
            <w:tcW w:w="1960" w:type="dxa"/>
          </w:tcPr>
          <w:p w:rsidR="00AA73B1" w:rsidRDefault="00AA73B1" w:rsidP="00BC0C80">
            <w:pPr>
              <w:pStyle w:val="Bodytext40"/>
              <w:shd w:val="clear" w:color="auto" w:fill="auto"/>
              <w:spacing w:before="0" w:after="0" w:line="240" w:lineRule="auto"/>
              <w:ind w:left="459"/>
              <w:jc w:val="both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4426C0">
              <w:rPr>
                <w:rFonts w:ascii="Sylfaen" w:hAnsi="Sylfaen"/>
                <w:sz w:val="16"/>
                <w:szCs w:val="24"/>
              </w:rPr>
              <w:t>(Ф. И. О.)</w:t>
            </w:r>
          </w:p>
        </w:tc>
        <w:tc>
          <w:tcPr>
            <w:tcW w:w="549" w:type="dxa"/>
            <w:vMerge/>
          </w:tcPr>
          <w:p w:rsidR="00AA73B1" w:rsidRPr="004426C0" w:rsidRDefault="00AA73B1" w:rsidP="00BC0C80">
            <w:pPr>
              <w:pStyle w:val="Bodytext40"/>
              <w:shd w:val="clear" w:color="auto" w:fill="auto"/>
              <w:spacing w:before="0" w:after="0" w:line="240" w:lineRule="auto"/>
              <w:ind w:left="459"/>
              <w:jc w:val="both"/>
              <w:rPr>
                <w:rFonts w:ascii="Sylfaen" w:hAnsi="Sylfaen"/>
                <w:sz w:val="16"/>
                <w:szCs w:val="24"/>
              </w:rPr>
            </w:pPr>
          </w:p>
        </w:tc>
      </w:tr>
    </w:tbl>
    <w:p w:rsidR="00D976D0" w:rsidRPr="00FC4D98" w:rsidRDefault="00D976D0" w:rsidP="00BC0C80">
      <w:pPr>
        <w:pStyle w:val="Bodytext40"/>
        <w:shd w:val="clear" w:color="auto" w:fill="auto"/>
        <w:spacing w:before="0" w:after="0" w:line="240" w:lineRule="auto"/>
        <w:ind w:left="8222"/>
        <w:jc w:val="both"/>
        <w:rPr>
          <w:rFonts w:ascii="Sylfaen" w:hAnsi="Sylfaen"/>
          <w:sz w:val="24"/>
          <w:szCs w:val="24"/>
        </w:rPr>
      </w:pPr>
    </w:p>
    <w:p w:rsidR="00D976D0" w:rsidRPr="00621F93" w:rsidRDefault="00D976D0" w:rsidP="00FC4D98">
      <w:pPr>
        <w:pStyle w:val="Bodytext40"/>
        <w:shd w:val="clear" w:color="auto" w:fill="auto"/>
        <w:tabs>
          <w:tab w:val="left" w:pos="2410"/>
        </w:tabs>
        <w:spacing w:before="0" w:after="0" w:line="240" w:lineRule="auto"/>
        <w:ind w:left="2410"/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1701"/>
        <w:gridCol w:w="567"/>
        <w:gridCol w:w="1842"/>
        <w:gridCol w:w="667"/>
      </w:tblGrid>
      <w:tr w:rsidR="00AA73B1" w:rsidTr="00AA73B1">
        <w:tc>
          <w:tcPr>
            <w:tcW w:w="3969" w:type="dxa"/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1701" w:type="dxa"/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1842" w:type="dxa"/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667" w:type="dxa"/>
            <w:vMerge w:val="restart"/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  <w:r w:rsidRPr="00621F93">
              <w:rPr>
                <w:rStyle w:val="Bodytext131"/>
                <w:rFonts w:ascii="Sylfaen" w:hAnsi="Sylfaen"/>
              </w:rPr>
              <w:t>(</w:t>
            </w:r>
            <w:r w:rsidRPr="00621F93">
              <w:rPr>
                <w:rStyle w:val="Bodytext13ArialNarrow"/>
                <w:rFonts w:ascii="Sylfaen" w:hAnsi="Sylfaen"/>
                <w:spacing w:val="0"/>
                <w:sz w:val="24"/>
                <w:szCs w:val="24"/>
              </w:rPr>
              <w:t>14</w:t>
            </w:r>
            <w:r w:rsidRPr="00621F93">
              <w:rPr>
                <w:rStyle w:val="Bodytext131"/>
                <w:rFonts w:ascii="Sylfaen" w:hAnsi="Sylfaen"/>
              </w:rPr>
              <w:t>)</w:t>
            </w:r>
          </w:p>
        </w:tc>
      </w:tr>
      <w:tr w:rsidR="00AA73B1" w:rsidTr="00AA73B1">
        <w:tc>
          <w:tcPr>
            <w:tcW w:w="3969" w:type="dxa"/>
          </w:tcPr>
          <w:p w:rsidR="00AA73B1" w:rsidRDefault="00AA73B1" w:rsidP="00BC0C80">
            <w:pPr>
              <w:pStyle w:val="Bodytext130"/>
              <w:shd w:val="clear" w:color="auto" w:fill="auto"/>
              <w:spacing w:after="120" w:line="240" w:lineRule="auto"/>
              <w:ind w:right="-108"/>
              <w:rPr>
                <w:rStyle w:val="Bodytext131"/>
                <w:rFonts w:ascii="Sylfaen" w:hAnsi="Sylfaen"/>
              </w:rPr>
            </w:pPr>
            <w:r w:rsidRPr="004426C0">
              <w:rPr>
                <w:rFonts w:ascii="Sylfaen" w:hAnsi="Sylfaen"/>
                <w:sz w:val="18"/>
              </w:rPr>
              <w:t>(должность руководителя структурного</w:t>
            </w:r>
            <w:r w:rsidRPr="00FC4D98">
              <w:rPr>
                <w:rFonts w:ascii="Sylfaen" w:hAnsi="Sylfaen"/>
                <w:sz w:val="18"/>
              </w:rPr>
              <w:t xml:space="preserve"> </w:t>
            </w:r>
            <w:r w:rsidRPr="004426C0">
              <w:rPr>
                <w:rFonts w:ascii="Sylfaen" w:hAnsi="Sylfaen"/>
                <w:sz w:val="18"/>
              </w:rPr>
              <w:t>подразделения уполномоченной организации)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1701" w:type="dxa"/>
          </w:tcPr>
          <w:p w:rsidR="00AA73B1" w:rsidRDefault="00AA73B1" w:rsidP="00AA73B1">
            <w:pPr>
              <w:pStyle w:val="Bodytext130"/>
              <w:shd w:val="clear" w:color="auto" w:fill="auto"/>
              <w:spacing w:after="120" w:line="240" w:lineRule="auto"/>
              <w:ind w:left="317"/>
              <w:rPr>
                <w:rStyle w:val="Bodytext131"/>
                <w:rFonts w:ascii="Sylfaen" w:hAnsi="Sylfaen"/>
              </w:rPr>
            </w:pPr>
            <w:r w:rsidRPr="004426C0">
              <w:rPr>
                <w:rFonts w:ascii="Sylfaen" w:hAnsi="Sylfaen"/>
                <w:sz w:val="18"/>
              </w:rPr>
              <w:t>(подпись)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A73B1" w:rsidRDefault="00AA73B1" w:rsidP="004426C0">
            <w:pPr>
              <w:pStyle w:val="Bodytext130"/>
              <w:shd w:val="clear" w:color="auto" w:fill="auto"/>
              <w:spacing w:after="120" w:line="240" w:lineRule="auto"/>
              <w:rPr>
                <w:rStyle w:val="Bodytext131"/>
                <w:rFonts w:ascii="Sylfaen" w:hAnsi="Sylfaen"/>
              </w:rPr>
            </w:pPr>
          </w:p>
        </w:tc>
        <w:tc>
          <w:tcPr>
            <w:tcW w:w="1842" w:type="dxa"/>
          </w:tcPr>
          <w:p w:rsidR="00AA73B1" w:rsidRDefault="00AA73B1" w:rsidP="00AA73B1">
            <w:pPr>
              <w:pStyle w:val="Bodytext130"/>
              <w:shd w:val="clear" w:color="auto" w:fill="auto"/>
              <w:spacing w:after="120" w:line="240" w:lineRule="auto"/>
              <w:ind w:left="459"/>
              <w:rPr>
                <w:rStyle w:val="Bodytext131"/>
                <w:rFonts w:ascii="Sylfaen" w:hAnsi="Sylfaen"/>
              </w:rPr>
            </w:pPr>
            <w:r w:rsidRPr="004426C0">
              <w:rPr>
                <w:rFonts w:ascii="Sylfaen" w:hAnsi="Sylfaen"/>
                <w:sz w:val="18"/>
              </w:rPr>
              <w:t>(Ф. И. О.)</w:t>
            </w:r>
          </w:p>
        </w:tc>
        <w:tc>
          <w:tcPr>
            <w:tcW w:w="667" w:type="dxa"/>
            <w:vMerge/>
          </w:tcPr>
          <w:p w:rsidR="00AA73B1" w:rsidRPr="004426C0" w:rsidRDefault="00AA73B1" w:rsidP="00BC0C80">
            <w:pPr>
              <w:pStyle w:val="Bodytext130"/>
              <w:shd w:val="clear" w:color="auto" w:fill="auto"/>
              <w:spacing w:after="120" w:line="240" w:lineRule="auto"/>
              <w:ind w:left="743"/>
              <w:rPr>
                <w:rFonts w:ascii="Sylfaen" w:hAnsi="Sylfaen"/>
                <w:sz w:val="18"/>
              </w:rPr>
            </w:pPr>
          </w:p>
        </w:tc>
      </w:tr>
    </w:tbl>
    <w:p w:rsidR="00D976D0" w:rsidRPr="00621F93" w:rsidRDefault="00D976D0" w:rsidP="00BC0C80">
      <w:pPr>
        <w:pStyle w:val="Bodytext130"/>
        <w:shd w:val="clear" w:color="auto" w:fill="auto"/>
        <w:spacing w:after="120" w:line="240" w:lineRule="auto"/>
        <w:ind w:left="8222"/>
        <w:rPr>
          <w:rFonts w:ascii="Sylfaen" w:hAnsi="Sylfaen"/>
        </w:rPr>
      </w:pPr>
    </w:p>
    <w:sectPr w:rsidR="00D976D0" w:rsidRPr="00621F93" w:rsidSect="00621F9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26" w:rsidRDefault="00E56326" w:rsidP="00D976D0">
      <w:r>
        <w:separator/>
      </w:r>
    </w:p>
  </w:endnote>
  <w:endnote w:type="continuationSeparator" w:id="0">
    <w:p w:rsidR="00E56326" w:rsidRDefault="00E56326" w:rsidP="00D9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26" w:rsidRDefault="00E56326"/>
  </w:footnote>
  <w:footnote w:type="continuationSeparator" w:id="0">
    <w:p w:rsidR="00E56326" w:rsidRDefault="00E563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454"/>
    <w:multiLevelType w:val="multilevel"/>
    <w:tmpl w:val="3AE0F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807A74"/>
    <w:multiLevelType w:val="multilevel"/>
    <w:tmpl w:val="6B0C2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A44399"/>
    <w:multiLevelType w:val="multilevel"/>
    <w:tmpl w:val="12246BDA"/>
    <w:lvl w:ilvl="0">
      <w:start w:val="1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B306AD"/>
    <w:multiLevelType w:val="multilevel"/>
    <w:tmpl w:val="ACCA547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976D0"/>
    <w:rsid w:val="000A5246"/>
    <w:rsid w:val="002E6A0F"/>
    <w:rsid w:val="004426C0"/>
    <w:rsid w:val="004C7BEB"/>
    <w:rsid w:val="00553C09"/>
    <w:rsid w:val="00621F93"/>
    <w:rsid w:val="007068A9"/>
    <w:rsid w:val="00773F99"/>
    <w:rsid w:val="00793274"/>
    <w:rsid w:val="00AA73B1"/>
    <w:rsid w:val="00B30724"/>
    <w:rsid w:val="00B36215"/>
    <w:rsid w:val="00BC0C80"/>
    <w:rsid w:val="00BC3851"/>
    <w:rsid w:val="00D976D0"/>
    <w:rsid w:val="00E56326"/>
    <w:rsid w:val="00F347FD"/>
    <w:rsid w:val="00F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6D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76D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0">
    <w:name w:val="Body text (10)_"/>
    <w:basedOn w:val="DefaultParagraphFont"/>
    <w:link w:val="Bodytext10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101">
    <w:name w:val="Body text (10)"/>
    <w:basedOn w:val="Bodytext1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Bold">
    <w:name w:val="Body text (10) + Bold"/>
    <w:basedOn w:val="Bodytext10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97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012pt">
    <w:name w:val="Body text (10) + 12 pt"/>
    <w:basedOn w:val="Bodytext1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02">
    <w:name w:val="Body text (10)"/>
    <w:basedOn w:val="Bodytext1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61">
    <w:name w:val="Body text (6)"/>
    <w:basedOn w:val="Bodytext6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TimesNewRoman">
    <w:name w:val="Body text (6) + Times New Roman"/>
    <w:aliases w:val="13 pt"/>
    <w:basedOn w:val="Bodytext6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5">
    <w:name w:val="Body text (15)_"/>
    <w:basedOn w:val="DefaultParagraphFont"/>
    <w:link w:val="Bodytext150"/>
    <w:rsid w:val="00D976D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ofcontents3TimesNewRoman">
    <w:name w:val="Table of contents (3) + Times New Roman"/>
    <w:basedOn w:val="Tableofcontents3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71">
    <w:name w:val="Body text (7)"/>
    <w:basedOn w:val="Bodytext7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11pt">
    <w:name w:val="Body text (7) + 11 pt"/>
    <w:basedOn w:val="Bodytext7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6">
    <w:name w:val="Body text (16)_"/>
    <w:basedOn w:val="DefaultParagraphFont"/>
    <w:link w:val="Bodytext160"/>
    <w:rsid w:val="00D976D0"/>
    <w:rPr>
      <w:rFonts w:ascii="Garamond" w:eastAsia="Garamond" w:hAnsi="Garamond" w:cs="Garamond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Bodytext11">
    <w:name w:val="Body text (11)_"/>
    <w:basedOn w:val="DefaultParagraphFont"/>
    <w:link w:val="Bodytext11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11">
    <w:name w:val="Body text (11)"/>
    <w:basedOn w:val="Bodytext11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1TimesNewRoman">
    <w:name w:val="Body text (11) + Times New Roman"/>
    <w:basedOn w:val="Bodytext11"/>
    <w:rsid w:val="00D97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131">
    <w:name w:val="Body text (13)"/>
    <w:basedOn w:val="Bodytext13"/>
    <w:rsid w:val="00D976D0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3ArialNarrow">
    <w:name w:val="Body text (13) + Arial Narrow"/>
    <w:aliases w:val="11 pt,Spacing 0 pt"/>
    <w:basedOn w:val="Bodytext13"/>
    <w:rsid w:val="00D976D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976D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D976D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976D0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00">
    <w:name w:val="Body text (10)"/>
    <w:basedOn w:val="Normal"/>
    <w:link w:val="Bodytext10"/>
    <w:rsid w:val="00D976D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D976D0"/>
    <w:pPr>
      <w:shd w:val="clear" w:color="auto" w:fill="FFFFFF"/>
      <w:spacing w:after="60" w:line="0" w:lineRule="atLeast"/>
    </w:pPr>
    <w:rPr>
      <w:rFonts w:ascii="Impact" w:eastAsia="Impact" w:hAnsi="Impact" w:cs="Impact"/>
    </w:rPr>
  </w:style>
  <w:style w:type="paragraph" w:customStyle="1" w:styleId="Bodytext40">
    <w:name w:val="Body text (4)"/>
    <w:basedOn w:val="Normal"/>
    <w:link w:val="Bodytext4"/>
    <w:rsid w:val="00D976D0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150">
    <w:name w:val="Body text (15)"/>
    <w:basedOn w:val="Normal"/>
    <w:link w:val="Bodytext15"/>
    <w:rsid w:val="00D976D0"/>
    <w:pPr>
      <w:shd w:val="clear" w:color="auto" w:fill="FFFFFF"/>
      <w:spacing w:before="300" w:after="60" w:line="0" w:lineRule="atLeast"/>
      <w:jc w:val="both"/>
    </w:pPr>
    <w:rPr>
      <w:rFonts w:ascii="Arial Narrow" w:eastAsia="Arial Narrow" w:hAnsi="Arial Narrow" w:cs="Arial Narrow"/>
      <w:sz w:val="30"/>
      <w:szCs w:val="30"/>
    </w:rPr>
  </w:style>
  <w:style w:type="paragraph" w:customStyle="1" w:styleId="Tableofcontents20">
    <w:name w:val="Table of contents (2)"/>
    <w:basedOn w:val="Normal"/>
    <w:link w:val="Tableofcontents2"/>
    <w:rsid w:val="00D976D0"/>
    <w:pPr>
      <w:shd w:val="clear" w:color="auto" w:fill="FFFFFF"/>
      <w:spacing w:before="540"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ofcontents30">
    <w:name w:val="Table of contents (3)"/>
    <w:basedOn w:val="Normal"/>
    <w:link w:val="Tableofcontents3"/>
    <w:rsid w:val="00D976D0"/>
    <w:pPr>
      <w:shd w:val="clear" w:color="auto" w:fill="FFFFFF"/>
      <w:spacing w:before="300" w:after="60" w:line="0" w:lineRule="atLeast"/>
      <w:jc w:val="both"/>
    </w:pPr>
    <w:rPr>
      <w:rFonts w:ascii="Impact" w:eastAsia="Impact" w:hAnsi="Impact" w:cs="Impact"/>
      <w:sz w:val="26"/>
      <w:szCs w:val="26"/>
    </w:rPr>
  </w:style>
  <w:style w:type="paragraph" w:customStyle="1" w:styleId="Tableofcontents0">
    <w:name w:val="Table of contents"/>
    <w:basedOn w:val="Normal"/>
    <w:link w:val="Tableofcontents"/>
    <w:rsid w:val="00D976D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70">
    <w:name w:val="Body text (7)"/>
    <w:basedOn w:val="Normal"/>
    <w:link w:val="Bodytext7"/>
    <w:rsid w:val="00D976D0"/>
    <w:pPr>
      <w:shd w:val="clear" w:color="auto" w:fill="FFFFFF"/>
      <w:spacing w:before="60" w:line="0" w:lineRule="atLeast"/>
    </w:pPr>
    <w:rPr>
      <w:rFonts w:ascii="Impact" w:eastAsia="Impact" w:hAnsi="Impact" w:cs="Impact"/>
    </w:rPr>
  </w:style>
  <w:style w:type="paragraph" w:customStyle="1" w:styleId="Bodytext160">
    <w:name w:val="Body text (16)"/>
    <w:basedOn w:val="Normal"/>
    <w:link w:val="Bodytext16"/>
    <w:rsid w:val="00D976D0"/>
    <w:pPr>
      <w:shd w:val="clear" w:color="auto" w:fill="FFFFFF"/>
      <w:spacing w:before="180" w:line="76" w:lineRule="exact"/>
      <w:jc w:val="both"/>
    </w:pPr>
    <w:rPr>
      <w:rFonts w:ascii="Garamond" w:eastAsia="Garamond" w:hAnsi="Garamond" w:cs="Garamond"/>
      <w:b/>
      <w:bCs/>
      <w:spacing w:val="30"/>
      <w:sz w:val="30"/>
      <w:szCs w:val="30"/>
    </w:rPr>
  </w:style>
  <w:style w:type="paragraph" w:customStyle="1" w:styleId="Bodytext110">
    <w:name w:val="Body text (11)"/>
    <w:basedOn w:val="Normal"/>
    <w:link w:val="Bodytext11"/>
    <w:rsid w:val="00D976D0"/>
    <w:pPr>
      <w:shd w:val="clear" w:color="auto" w:fill="FFFFFF"/>
      <w:spacing w:line="0" w:lineRule="atLeast"/>
    </w:pPr>
    <w:rPr>
      <w:rFonts w:ascii="Impact" w:eastAsia="Impact" w:hAnsi="Impact" w:cs="Impact"/>
    </w:rPr>
  </w:style>
  <w:style w:type="paragraph" w:customStyle="1" w:styleId="Bodytext130">
    <w:name w:val="Body text (13)"/>
    <w:basedOn w:val="Normal"/>
    <w:link w:val="Bodytext13"/>
    <w:rsid w:val="00D976D0"/>
    <w:pPr>
      <w:shd w:val="clear" w:color="auto" w:fill="FFFFFF"/>
      <w:spacing w:line="0" w:lineRule="atLeast"/>
    </w:pPr>
    <w:rPr>
      <w:rFonts w:ascii="Impact" w:eastAsia="Impact" w:hAnsi="Impact" w:cs="Impact"/>
    </w:rPr>
  </w:style>
  <w:style w:type="table" w:styleId="TableGrid">
    <w:name w:val="Table Grid"/>
    <w:basedOn w:val="TableNormal"/>
    <w:uiPriority w:val="59"/>
    <w:rsid w:val="00FC4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E39B0-6BB4-4BCB-9ECD-2D135740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2017-07-23T06:20:00Z</dcterms:created>
  <dcterms:modified xsi:type="dcterms:W3CDTF">2018-07-31T07:43:00Z</dcterms:modified>
</cp:coreProperties>
</file>