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0A0" w:rsidRDefault="00EC2A2C" w:rsidP="00CE30A0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  <w:bookmarkStart w:id="0" w:name="_GoBack"/>
      <w:bookmarkEnd w:id="0"/>
      <w:r w:rsidRPr="00EC2A2C">
        <w:rPr>
          <w:rFonts w:ascii="Sylfaen" w:hAnsi="Sylfaen"/>
          <w:sz w:val="24"/>
          <w:szCs w:val="24"/>
        </w:rPr>
        <w:t>УТВЕРЖДЕН</w:t>
      </w:r>
    </w:p>
    <w:p w:rsidR="00CE30A0" w:rsidRDefault="00EC2A2C" w:rsidP="00CE30A0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  <w:r w:rsidRPr="00EC2A2C">
        <w:rPr>
          <w:rFonts w:ascii="Sylfaen" w:hAnsi="Sylfaen"/>
          <w:sz w:val="24"/>
          <w:szCs w:val="24"/>
        </w:rPr>
        <w:t>Решением Совета</w:t>
      </w:r>
      <w:r w:rsidR="00CE30A0" w:rsidRPr="00CE30A0">
        <w:rPr>
          <w:rFonts w:ascii="Sylfaen" w:hAnsi="Sylfaen"/>
          <w:sz w:val="24"/>
          <w:szCs w:val="24"/>
        </w:rPr>
        <w:t xml:space="preserve"> </w:t>
      </w:r>
      <w:r w:rsidRPr="00EC2A2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5E58D7" w:rsidRDefault="00EC2A2C" w:rsidP="00CE30A0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  <w:r w:rsidRPr="00EC2A2C">
        <w:rPr>
          <w:rFonts w:ascii="Sylfaen" w:hAnsi="Sylfaen"/>
          <w:sz w:val="24"/>
          <w:szCs w:val="24"/>
        </w:rPr>
        <w:t>от 11 июля 2016 г. № 65</w:t>
      </w:r>
    </w:p>
    <w:p w:rsidR="00CE30A0" w:rsidRPr="00CE30A0" w:rsidRDefault="00CE30A0" w:rsidP="00CE30A0">
      <w:pPr>
        <w:pStyle w:val="Bodytext20"/>
        <w:shd w:val="clear" w:color="auto" w:fill="auto"/>
        <w:spacing w:before="0" w:after="120" w:line="240" w:lineRule="auto"/>
        <w:ind w:left="10206" w:right="-1"/>
        <w:jc w:val="center"/>
        <w:rPr>
          <w:rFonts w:ascii="Sylfaen" w:hAnsi="Sylfaen"/>
          <w:sz w:val="24"/>
          <w:szCs w:val="24"/>
          <w:lang w:val="en-US"/>
        </w:rPr>
      </w:pPr>
    </w:p>
    <w:p w:rsidR="00CE30A0" w:rsidRDefault="00EC2A2C" w:rsidP="00CE30A0">
      <w:pPr>
        <w:pStyle w:val="Bodytext30"/>
        <w:shd w:val="clear" w:color="auto" w:fill="auto"/>
        <w:spacing w:before="0" w:after="120" w:line="240" w:lineRule="auto"/>
        <w:ind w:left="1276" w:right="1246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EC2A2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ДЕТАЛИЗИРОВАННЫЙ ПЛАН НА 2016</w:t>
      </w:r>
      <w:r w:rsidRPr="00EC2A2C">
        <w:rPr>
          <w:rFonts w:ascii="Sylfaen" w:hAnsi="Sylfaen"/>
          <w:sz w:val="24"/>
          <w:szCs w:val="24"/>
        </w:rPr>
        <w:t xml:space="preserve"> </w:t>
      </w:r>
      <w:r w:rsidRPr="00EC2A2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ГОД</w:t>
      </w:r>
    </w:p>
    <w:p w:rsidR="005E58D7" w:rsidRPr="00CE30A0" w:rsidRDefault="00EC2A2C" w:rsidP="00CE30A0">
      <w:pPr>
        <w:pStyle w:val="Bodytext30"/>
        <w:shd w:val="clear" w:color="auto" w:fill="auto"/>
        <w:spacing w:before="0" w:after="120" w:line="240" w:lineRule="auto"/>
        <w:ind w:left="1276" w:right="1246"/>
        <w:rPr>
          <w:rFonts w:ascii="Sylfaen" w:hAnsi="Sylfaen"/>
          <w:sz w:val="24"/>
          <w:szCs w:val="24"/>
        </w:rPr>
      </w:pPr>
      <w:r w:rsidRPr="00EC2A2C">
        <w:rPr>
          <w:rFonts w:ascii="Sylfaen" w:hAnsi="Sylfaen"/>
          <w:sz w:val="24"/>
          <w:szCs w:val="24"/>
        </w:rPr>
        <w:t>по выполнению плана мероприятий по реализации Основных направлений</w:t>
      </w:r>
      <w:r w:rsidR="00CE30A0" w:rsidRPr="00CE30A0">
        <w:rPr>
          <w:rFonts w:ascii="Sylfaen" w:hAnsi="Sylfaen"/>
          <w:sz w:val="24"/>
          <w:szCs w:val="24"/>
        </w:rPr>
        <w:t xml:space="preserve"> </w:t>
      </w:r>
      <w:r w:rsidRPr="00EC2A2C">
        <w:rPr>
          <w:rFonts w:ascii="Sylfaen" w:hAnsi="Sylfaen"/>
          <w:sz w:val="24"/>
          <w:szCs w:val="24"/>
        </w:rPr>
        <w:t>развития механизма «единого окна» в системе регулирования внешнеэкономической деятельности</w:t>
      </w:r>
    </w:p>
    <w:p w:rsidR="00CE30A0" w:rsidRPr="00CE30A0" w:rsidRDefault="00CE30A0" w:rsidP="00CE30A0">
      <w:pPr>
        <w:pStyle w:val="Bodytext30"/>
        <w:shd w:val="clear" w:color="auto" w:fill="auto"/>
        <w:spacing w:before="0" w:after="120" w:line="240" w:lineRule="auto"/>
        <w:ind w:left="1276" w:right="1246"/>
        <w:rPr>
          <w:rFonts w:ascii="Sylfaen" w:hAnsi="Sylfaen"/>
          <w:sz w:val="24"/>
          <w:szCs w:val="24"/>
        </w:rPr>
      </w:pPr>
    </w:p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0"/>
        <w:gridCol w:w="30"/>
        <w:gridCol w:w="14"/>
        <w:gridCol w:w="1989"/>
        <w:gridCol w:w="2030"/>
        <w:gridCol w:w="2550"/>
        <w:gridCol w:w="3258"/>
      </w:tblGrid>
      <w:tr w:rsidR="00E812ED" w:rsidRPr="00EC2A2C" w:rsidTr="00E812ED">
        <w:trPr>
          <w:tblHeader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58D7" w:rsidRPr="00AD49A8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перечня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мероприятий</w:t>
            </w:r>
            <w:r w:rsidR="00AD49A8">
              <w:rPr>
                <w:rStyle w:val="FootnoteReference"/>
                <w:rFonts w:ascii="Sylfaen" w:hAnsi="Sylfaen"/>
                <w:sz w:val="24"/>
                <w:szCs w:val="24"/>
              </w:rPr>
              <w:footnoteReference w:id="1"/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Срок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исполнения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Ответственный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исполнитель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Планируемый результат</w:t>
            </w:r>
          </w:p>
        </w:tc>
      </w:tr>
      <w:tr w:rsidR="00E812ED" w:rsidRPr="00EC2A2C" w:rsidTr="00E812ED">
        <w:trPr>
          <w:tblHeader/>
        </w:trPr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5</w:t>
            </w:r>
          </w:p>
        </w:tc>
      </w:tr>
      <w:tr w:rsidR="00E812ED" w:rsidRPr="00EC2A2C" w:rsidTr="00E812ED">
        <w:tc>
          <w:tcPr>
            <w:tcW w:w="14611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812ED" w:rsidRPr="00EC2A2C" w:rsidRDefault="00E812ED" w:rsidP="00AD49A8">
            <w:pPr>
              <w:spacing w:after="120"/>
              <w:ind w:left="112" w:right="116"/>
            </w:pPr>
            <w:r w:rsidRPr="00EC2A2C">
              <w:rPr>
                <w:rStyle w:val="Bodytext21"/>
                <w:rFonts w:ascii="Sylfaen" w:eastAsia="Sylfaen" w:hAnsi="Sylfaen"/>
                <w:sz w:val="24"/>
                <w:szCs w:val="24"/>
              </w:rPr>
              <w:t>1. Развитие национальных механизмов «единого окна»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1.1. Сравнение терминов, используемых в описании механизма «единого окна» в законодательстве государств-членов и международной практике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Евразийская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экономическая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(далее 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Комиссия),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 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Евразийского экономического союза (далее соответственно -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государства- члены, Союз)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справочно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информационная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таблица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1.2. Проведение анализа состояния развития национальных механизмов «единого окна» в соответствии с разработанной методикой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1.4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1.2.1. Подготовка и представление в Комиссию итоговых отчетов по результатам анализа состояния развития национальных механизмов «единого окна», проведенного в государствах- членах в соответствии с Методикой оценки состояния развития национальных механизмов «единого окна», утвержденной Решением Коллегии Евразийской экономической комиссии от 28 сентября 2015 г. № 123 (далее - Методика)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AD49A8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апрель</w:t>
            </w:r>
            <w:r w:rsidR="00AD49A8">
              <w:rPr>
                <w:rStyle w:val="FootnoteReference"/>
                <w:rFonts w:ascii="Sylfaen" w:hAnsi="Sylfaen"/>
                <w:sz w:val="24"/>
                <w:szCs w:val="24"/>
              </w:rPr>
              <w:footnoteReference w:id="2"/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итоговые отчеты государств-членов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1.2.2. Проведение оценки состояния развития национальных механизмов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«единого окна» в соответствии с пунктом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 xml:space="preserve">20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Методики на основании итоговых отчетов, представленных государствами-членами (пункт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2.1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настоящего плана)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июнь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отчет (учитывается при подготовке заключений по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каждому государству- члену)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1.3. Сбор и обобщение результатов оценки состояния развития национальных механизмов «единого окна». Разработка заключений по каждому государству-члену по оптимизации государственных процедур и бизнес-процессов, связанных с внешнеэкономической деятельностью, а также по развитию национальных механизмов «единого окна»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1.5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1.3.1. Разработка заключений по каждому государству-члену с рекомендациями по дальнейшему развитию национальных механизмов «единого окна» на основании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заключения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итоговых отчетов, представленных государствами- членами (пункт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2.1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настоящего плана), и отчета Комиссии (пункт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.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2.2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настоящего плана)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1.3.2. Подготовка доклада об оценке состояния развития национальных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механизмов «единого окна» с целью информирования Евразийского межправительственного совета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III квартал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доклад на заседании Евразийского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межправительственного совета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1.4. Разработка и утверждение детального описания функций и архитектуры эталонной модели национального механизма «единого окна», перечня государственных процедур и услуг, охватываемых этой эталонной моделью, с учетом наднационального сегмента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1.6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1.4.1. Разработка технического задания на проведение научно- исследовательской работы по теме «Разработка описания функционала, архитектуры,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а также интерактивной презентации демонстрационного макета эталонной модели национального механизма «единого окна» в системе регулирования внешнеэкономической деятельности»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май**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техническое задание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1.4.2. Разработка и согласование детального описания функций и архитектуры эталонной модели национального механизма «единого окна»,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подготовка акта органа Союза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 Коллегии Комиссии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1.4.3. Создание интерактивной презентации эталонной модели национального механизма «единого окна» в соответствии с ее функциональным описанием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интерактивная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презентация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1.4.4. Утверждение эталонной модели национального механизма «единого окна»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решения Высшего Евразийского экономического совета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1.5. Разработка, внедрение и оптимизация национальных механизмов «единого окна»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1.7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4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1.5.1. Разработка или доработка концепций развития национальных механизмов «единого окна»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1.5.2. Подготовка или актуализация планов мероприятий («дорожных карт») по созданию национальных механизмов «единого окна» с учетом актов органов Союза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1.5.3. Реализация пилотных проектов, относящихся к элементам национального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механизма «единого окна»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1.5.4. Проведение анализа уровня развития электронного декларирования товаров в государствах-членах, подготовка заключения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заключение по результатам анализа (учитывается при подготовке типовой концепции)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1.5.5. Проведение анализа нормативных правовых актов государств-членов и международной практики в части, касающейся получения допуска к осуществлению международных перевозок автомобильным транспортом, подготовка заключения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заключение по результатам анализа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1.5.6. Проведение анализа уровня развития электронной коммерции в государствах-членах, подготовка заключения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заключение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по результатам анализа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(учитывается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при подготовке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приоритетных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направлений сближения)</w:t>
            </w:r>
          </w:p>
        </w:tc>
      </w:tr>
      <w:tr w:rsidR="00E812ED" w:rsidRPr="00EC2A2C" w:rsidTr="00E812ED">
        <w:tc>
          <w:tcPr>
            <w:tcW w:w="474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1.5.7. Анализ нормативных правовых актов государств-членов, регламентирующих требования по предъявлению документов в кредитную организацию при осуществлении оплаты по внешнеторговому контракту,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подготовка заключения</w:t>
            </w:r>
          </w:p>
        </w:tc>
        <w:tc>
          <w:tcPr>
            <w:tcW w:w="2033" w:type="dxa"/>
            <w:gridSpan w:val="3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заключение по результатам анализа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2. Сближение подходов по развитию национальных механизмов «единого окна»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2.1. Определение приоритетных направлений сближения подходов по развитию национальных механизмов «единого 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пункт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2.1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2.1.1. Определение приоритетных направлений сближения подходов по развитию электронной коммерции в государствах-членах на основании заключения, подготовленного по итогам проведенного анализа (пункт 1.5.6 настоящего плана)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 о ходе работ по определению приоритетных направлений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 Взаимное признание электронных документов, необходимых для осуществления внешнеэкономической деятельности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3.1. Анализ документов и сведений, необходимых для осуществления внешнеэкономической деятельности, и оценка необходимости внесения изменений в акты, входящие в право Союза, и законодательство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3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государств-членов с целью унификации и гармонизации сведений из документов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3.1.1. Подготовка заключений по результатам анализа, проведенного в соответствии с Методическими подходами к анализу документов и сведений, необходимых для осуществления внешнеэкономической деятельности, оценки степени и возможности унификации и гармонизации сведений из указанных документов, а также оценки возможности оформления электронных документов, утвержденными Решением Коллегии Евразийской экономической комиссии от 17 ноября 2015 г. № 151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май**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заключения, итоговый отчет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3.2. Унификация и гармонизация сведений из документов, необходимых для осуществления внешнеэкономической деятельности, а также содержащихся в электронных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документах, оформляемых на территории Союза, в целях их взаимного признания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3.2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3.2.1. Формирование основы для гармонизации сведений, необходимых для осуществления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внешнеэкономической деятельности, в рамках развития модели данных Союза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3.2.2. Подготовка предложений по гармонизации сведений из документов, необходимых для подачи декларации на товары, в рамках отдельных таможенных процедур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3.2.3. Разработка унифицированных требований к электронному виду документов (электронным документам), их структурам и форматам в электронном виде, применяемых и взаимно признаваемых в государствах- членах, для выборочной</w:t>
            </w:r>
            <w:r w:rsidR="00AD49A8" w:rsidRPr="00AD49A8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процедуры 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установленной перечнем приоритетных для унификации процедур взаимодействия заинтересованных лиц с государственными органами и (или) уполномоченными организациями государств - членов Евразийского экономического союза в рамках функционирования национальных механизмов «единого окна», утвержденным Решением Коллегии 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Евразийской экономической комиссии от </w:t>
            </w:r>
            <w:r w:rsidR="00AD49A8" w:rsidRPr="00EC2A2C">
              <w:rPr>
                <w:rStyle w:val="Bodytext23"/>
                <w:rFonts w:ascii="Sylfaen" w:hAnsi="Sylfaen"/>
                <w:sz w:val="24"/>
                <w:szCs w:val="24"/>
              </w:rPr>
              <w:t>22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декабря 2015 г. № 171 (далее - перечень), отдельно по каждому блоку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проекты актов органов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3.3. Переход на оформление уполномоченными органами государств-членов и использование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3.3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3.3.1. Закрепление в актах, входящих в право Союза, положений об утверждении формата и структур электронных документов, необходимых для осуществления внешнеэкономической деятельности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международного договора, проекты актов органов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3.3.2. Определение порядка координации согласования проектов актов, входящих в право Союза, связанных с оформлением и использованием документов, необходимых для осуществления внешнеэкономической деятельности, оказывающих влияние на развитие национальных механизмов «единого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январь**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3.3.3. Актуализация нормативных правовых актов государств- членов, связанных с оформлением и использованием документов для получения лицензии на экспорт и (или) импорт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акты государств-членов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отдельных видов товаров, в целях создания условий для перехода на электронный документооборот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3.3.4. Подготовка перечня нормативных правовых актов государств-членов, связанных с оформлением и использованием документов, необходимых для подачи декларации на товары, в которые необходимо внести изменения, позволяющие создать условия для перехода на электронный документооборот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3.4. Использование сведений из документов, необходимых для осуществления внешнеэкономической деятельности на территории Союза,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выданных уполномоченными органами государств, не являющихся государствами-членами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3.4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3.4.1. Подготовка предложений по использованию документов и (или) сведений, необходимых для осуществления внешнеэкономической деятельности на территории Союза, выданных уполномоченными органами государств, не являющихся государствами-членами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отчет, свод предложений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3.5. Обеспечение уникальной идентификации субъектов внешнеэкономической деятельности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3.5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3.5.1. Разработка и согласование с государствами-членами предложений по созданию единой системы идентификации участников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внешнеэкономической деятельности на таможенной территории Союза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отчет, свод предложений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4. Организация информационного взаимодействия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4.1. Унификация процедур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взаимодействия заинтересованных лиц и государственных органов в рамках национальных механизмов «единого окна»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4.1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4.1.1. Регламентация порядка направления и получения сообщений (запросов) в процессе информационного взаимодействия в рамках унифицируемых процедур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4.1.2. Разработка рекомендаций по предоставлению услуг государственными органами или уполномоченными организациями для выборочной процедуры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,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установленной перечнем, отдельно по каждому блоку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органа Союза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4.2. Оптимизация процедур межведомственного информационного взаимодействия в рамках национальных механизмов «единого окна»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4.2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4.2.1. Подготовка рекомендаций по порядку направления и получения сообщений (запросов) в процессе информационного взаимодействия в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рамках процедур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проект акта Коллегии Комиссии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4.3. Оптимизация и реализация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4.3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4.3.1. Регламентация общих процессов в рамках Союза, задействованных в обеспечении функционирования национальных механизмов «единого 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4.3.2. Реализация общих процессов в рамках Союза, задействованных в обеспечении функционирования национальных механизмов «единого окна» в интеграционном сегменте Комиссии интегрированной информационной системы Союза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4.3.3. Реализация общих процессов в рамках Союза, задействованных в обеспечении функционирования национальных механизмов «единого окна» в национальных сегментах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государств-членов интегрированной информационной системы Союза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 и техническая документация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4.4. Упрощение процедур использования национальных механизмов «единого окна» заинтересованными лицами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4.4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4.4.1. Анализ бизнес-процессов и процедур взаимодействия между хозяйствующими</w:t>
            </w:r>
            <w:r w:rsidR="00AD49A8"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субъектами (В2В), возникающих при электронном декларировании товаров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4.4.2. Разработка предложений по формированию каталога унифицированных процедур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в электронном виде с целью обеспечения равных условий для заинтересованных лиц при получении и использовании информации об унифицированных процедурах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предложения по формированию каталога, отчет</w:t>
            </w: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4.5. Формирование и развитие единой системы нормативно-справочной информации Союза, необходимой для обеспечения функционирования национальных механизмов «единого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4.5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AD49A8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4.5.1. Формирование справочников и классификаторов для включения в состав единой системы нормативно-справочной информации Союза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акты органов Союза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5. Формирование понятийного аппарата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5.1. Разработка глоссария терминов, используемых при реализации Основных направлений развития механизма «единого окна» в системе регулирования внешнеэкономической деятельности, утвержденных Решением Высшего Евразийского экономического совета от 29 мая 2014 г. №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 xml:space="preserve">68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(далее - Основные направления)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5.1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 органа Союза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5.2. Ведение (актуализация) глоссария терминов, используемых при реализации Основных направлений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5.2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5.2.1. Сравнительный анализ терминов, используемых по направлению деятельности тематических блоков рабочей группы, созданной Решением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Коллегии Евразийской экономической комиссии от 28 сентября 2015 г. № 124 (далее - рабочая группа)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отчет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5.2.2. Подготовка предложений для включения в глоссарий терминов с учетом результатов проведенного сравнительного анализа, указанного в пункте 5.2.1 настоящего плана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предложения в глоссарий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6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. Организационный механизм, обеспечивающий реализацию плана мероприятий (механизм управления)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6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.1. Определение государствами- членами уполномоченных органов, ответственных за реализацию Основных направлений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6.3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государство-член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6.2. Создание государствами-членами координирующих (совещательных) органов, уполномоченных на реализацию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</w:t>
            </w:r>
            <w:r w:rsidRPr="00EC2A2C">
              <w:rPr>
                <w:rStyle w:val="Bodytext23"/>
                <w:rFonts w:ascii="Sylfaen" w:hAnsi="Sylfaen"/>
                <w:sz w:val="24"/>
                <w:szCs w:val="24"/>
              </w:rPr>
              <w:t>8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 xml:space="preserve"> мая 2015 г. № 19 (далее - план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мероприятий), и настоящего плана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пункт 6.4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государство-член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 правительства государства-члена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6.3. Совершенствование организационной структуры механизма управления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6.5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6.3.1. Разработка и утверждение регламента работы рабочей группы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август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регламент рабочей группы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6.3.2. Актуализация положения об организационной структуре механизма, обеспечивающего выполнение плана мероприятий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акты Коллегии Комиссии</w:t>
            </w:r>
          </w:p>
        </w:tc>
      </w:tr>
      <w:tr w:rsidR="00E812ED" w:rsidRPr="00EC2A2C" w:rsidTr="00E812ED">
        <w:tc>
          <w:tcPr>
            <w:tcW w:w="4784" w:type="dxa"/>
            <w:gridSpan w:val="3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6.3.3. Актуализация состава рабочей группы</w:t>
            </w:r>
          </w:p>
        </w:tc>
        <w:tc>
          <w:tcPr>
            <w:tcW w:w="1989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акты Коллегии Комиссии</w:t>
            </w:r>
          </w:p>
        </w:tc>
      </w:tr>
      <w:tr w:rsidR="005E58D7" w:rsidRPr="00EC2A2C" w:rsidTr="00E812ED">
        <w:tc>
          <w:tcPr>
            <w:tcW w:w="14611" w:type="dxa"/>
            <w:gridSpan w:val="7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 Организационные вопросы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7.1. Популяризация механизма «единого окна»: работа со СМИ, организация открытых дискуссий, семинаров, конференций по реализации Основных направлений и плана мероприятий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7.1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организация конференций, подготовка статей, выпуск сборников, брошюр, справочников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7.1.1. Проведение международной конференции по актуальным вопросам развития электронного декларирования в рамках механизма «единого окна»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рекомендации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конференции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7.2. Подготовка и публикация отчетов о проделанной работе по реализации Основных направлений и плана мероприятий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пункт 7.2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опубликование на сайте Комиссии в информационнотелекоммуникационной сети «Интернет» (далее - сеть «Интернет»)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7.2.1. Подготовка и публикация отчета об исполнении детализированного плана на 2015 год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июнь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опубликование на сайте Комиссии в сети «Интернет»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7.2.2. Создание на портале Союза в сети «Интернет» выделенного тематического информационного ресурса по вопросам реализации Основных направлений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Комиссия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тематический раздел на портале Союза в сети «Интернет»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1"/>
                <w:rFonts w:ascii="Sylfaen" w:hAnsi="Sylfaen"/>
                <w:sz w:val="24"/>
                <w:szCs w:val="24"/>
              </w:rPr>
              <w:t>7.3. Организация заседаний рабочей группы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Style w:val="Bodytext2Verdana"/>
                <w:rFonts w:ascii="Sylfaen" w:hAnsi="Sylfaen"/>
                <w:sz w:val="24"/>
                <w:szCs w:val="24"/>
              </w:rPr>
              <w:t>—</w:t>
            </w:r>
          </w:p>
        </w:tc>
        <w:tc>
          <w:tcPr>
            <w:tcW w:w="203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550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3258" w:type="dxa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7.3.1. Заседание рабочей группы в полном составе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center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7.3.2. Заседания рабочей группы в составе координационного совета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в течение года</w:t>
            </w:r>
          </w:p>
        </w:tc>
        <w:tc>
          <w:tcPr>
            <w:tcW w:w="2550" w:type="dxa"/>
            <w:shd w:val="clear" w:color="auto" w:fill="FFFFFF"/>
            <w:vAlign w:val="center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7.3.3. Заседания рабочей группы в составе отдельных тематических блоков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ежеквартально</w:t>
            </w:r>
          </w:p>
        </w:tc>
        <w:tc>
          <w:tcPr>
            <w:tcW w:w="255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протоколы заседаний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lastRenderedPageBreak/>
              <w:t>7.4. Подготовка планов работ тематических блоков рабочей группы на 2016 год с учетом перечня работ (приложение к Положению 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утвержденному Решением Коллегии Евразийской экономической комиссии от 28 сентября 2015 г. № 124)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июль</w:t>
            </w:r>
          </w:p>
        </w:tc>
        <w:tc>
          <w:tcPr>
            <w:tcW w:w="255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планы работ тематических блоков</w:t>
            </w:r>
          </w:p>
        </w:tc>
      </w:tr>
      <w:tr w:rsidR="00E812ED" w:rsidRPr="00EC2A2C" w:rsidTr="00E812ED">
        <w:tc>
          <w:tcPr>
            <w:tcW w:w="4770" w:type="dxa"/>
            <w:gridSpan w:val="2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7.5. Подготовка проекта детализированного плана на 2017 год по выполнению плана мероприятий</w:t>
            </w:r>
          </w:p>
        </w:tc>
        <w:tc>
          <w:tcPr>
            <w:tcW w:w="2003" w:type="dxa"/>
            <w:gridSpan w:val="2"/>
            <w:shd w:val="clear" w:color="auto" w:fill="FFFFFF"/>
          </w:tcPr>
          <w:p w:rsidR="005E58D7" w:rsidRPr="00EC2A2C" w:rsidRDefault="005E58D7" w:rsidP="00AD49A8">
            <w:pPr>
              <w:spacing w:after="120"/>
              <w:ind w:left="112" w:right="116"/>
            </w:pPr>
          </w:p>
        </w:tc>
        <w:tc>
          <w:tcPr>
            <w:tcW w:w="2030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center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shd w:val="clear" w:color="auto" w:fill="FFFFFF"/>
            <w:vAlign w:val="bottom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Комиссия,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государства-</w:t>
            </w:r>
            <w:r w:rsidR="00E812E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EC2A2C">
              <w:rPr>
                <w:rFonts w:ascii="Sylfaen" w:hAnsi="Sylfaen"/>
                <w:sz w:val="24"/>
                <w:szCs w:val="24"/>
              </w:rPr>
              <w:t>члены</w:t>
            </w:r>
          </w:p>
        </w:tc>
        <w:tc>
          <w:tcPr>
            <w:tcW w:w="3258" w:type="dxa"/>
            <w:shd w:val="clear" w:color="auto" w:fill="FFFFFF"/>
          </w:tcPr>
          <w:p w:rsidR="005E58D7" w:rsidRPr="00EC2A2C" w:rsidRDefault="00EC2A2C" w:rsidP="00AD49A8">
            <w:pPr>
              <w:pStyle w:val="Bodytext20"/>
              <w:shd w:val="clear" w:color="auto" w:fill="auto"/>
              <w:spacing w:before="0" w:after="120" w:line="240" w:lineRule="auto"/>
              <w:ind w:left="112" w:right="116"/>
              <w:jc w:val="left"/>
              <w:rPr>
                <w:rFonts w:ascii="Sylfaen" w:hAnsi="Sylfaen"/>
                <w:sz w:val="24"/>
                <w:szCs w:val="24"/>
              </w:rPr>
            </w:pPr>
            <w:r w:rsidRPr="00EC2A2C">
              <w:rPr>
                <w:rFonts w:ascii="Sylfaen" w:hAnsi="Sylfaen"/>
                <w:sz w:val="24"/>
                <w:szCs w:val="24"/>
              </w:rPr>
              <w:t>акт Коллегии Комиссии</w:t>
            </w:r>
          </w:p>
        </w:tc>
      </w:tr>
    </w:tbl>
    <w:p w:rsidR="005E58D7" w:rsidRPr="00EC2A2C" w:rsidRDefault="005E58D7" w:rsidP="00AD49A8">
      <w:pPr>
        <w:pStyle w:val="Bodytext50"/>
        <w:shd w:val="clear" w:color="auto" w:fill="auto"/>
        <w:spacing w:before="0" w:after="120" w:line="240" w:lineRule="auto"/>
        <w:rPr>
          <w:rFonts w:ascii="Sylfaen" w:hAnsi="Sylfaen"/>
        </w:rPr>
      </w:pPr>
    </w:p>
    <w:sectPr w:rsidR="005E58D7" w:rsidRPr="00EC2A2C" w:rsidSect="00EC2A2C">
      <w:pgSz w:w="16840" w:h="11907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4E" w:rsidRDefault="00A14D4E" w:rsidP="005E58D7">
      <w:r>
        <w:separator/>
      </w:r>
    </w:p>
  </w:endnote>
  <w:endnote w:type="continuationSeparator" w:id="0">
    <w:p w:rsidR="00A14D4E" w:rsidRDefault="00A14D4E" w:rsidP="005E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4E" w:rsidRDefault="00A14D4E"/>
  </w:footnote>
  <w:footnote w:type="continuationSeparator" w:id="0">
    <w:p w:rsidR="00A14D4E" w:rsidRDefault="00A14D4E"/>
  </w:footnote>
  <w:footnote w:id="1">
    <w:p w:rsidR="00AD49A8" w:rsidRPr="00AD49A8" w:rsidRDefault="00AD49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2A2C">
        <w:t>Указывается пункт перечня мероприятий (раздел XII)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</w:footnote>
  <w:footnote w:id="2">
    <w:p w:rsidR="00AD49A8" w:rsidRPr="00AD49A8" w:rsidRDefault="00AD49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C2A2C">
        <w:t>Указывается фактический срок исполнения мероприятий, которые учитываются при проведении мониторинга и контроля исполнения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58D7"/>
    <w:rsid w:val="001E75E6"/>
    <w:rsid w:val="002201F1"/>
    <w:rsid w:val="0029095B"/>
    <w:rsid w:val="00526268"/>
    <w:rsid w:val="00585F0A"/>
    <w:rsid w:val="005E58D7"/>
    <w:rsid w:val="007448B0"/>
    <w:rsid w:val="00941A7C"/>
    <w:rsid w:val="00A13C1D"/>
    <w:rsid w:val="00A14D4E"/>
    <w:rsid w:val="00AD49A8"/>
    <w:rsid w:val="00CE30A0"/>
    <w:rsid w:val="00E812ED"/>
    <w:rsid w:val="00EC2A2C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8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58D7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5E5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4pt">
    <w:name w:val="Body text (5) + 14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19pt">
    <w:name w:val="Body text (5) + 19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2) + 14 pt,Bold,Body text (2) + 13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1">
    <w:name w:val="Body text (2) + Bold"/>
    <w:aliases w:val="Spacing 4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E58D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5E58D7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E58D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5E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E58D7"/>
    <w:pPr>
      <w:shd w:val="clear" w:color="auto" w:fill="FFFFFF"/>
      <w:spacing w:before="30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E58D7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5E58D7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E58D7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A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A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A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9</cp:revision>
  <dcterms:created xsi:type="dcterms:W3CDTF">2017-03-16T13:19:00Z</dcterms:created>
  <dcterms:modified xsi:type="dcterms:W3CDTF">2017-11-06T11:15:00Z</dcterms:modified>
</cp:coreProperties>
</file>