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1C0" w:rsidRPr="000E0324" w:rsidRDefault="00855820" w:rsidP="00903CB0">
      <w:pPr>
        <w:spacing w:before="65" w:after="0" w:line="240" w:lineRule="auto"/>
        <w:ind w:left="5822" w:right="1562"/>
        <w:jc w:val="center"/>
        <w:rPr>
          <w:rFonts w:ascii="Times New Roman" w:eastAsia="Times New Roman" w:hAnsi="Times New Roman" w:cs="Times New Roman"/>
          <w:sz w:val="24"/>
          <w:szCs w:val="24"/>
          <w:lang w:val="ru-RU"/>
        </w:rPr>
      </w:pPr>
      <w:bookmarkStart w:id="0" w:name="_GoBack"/>
      <w:bookmarkEnd w:id="0"/>
      <w:r w:rsidRPr="000E0324">
        <w:rPr>
          <w:rFonts w:ascii="Times New Roman" w:eastAsia="Times New Roman" w:hAnsi="Times New Roman" w:cs="Times New Roman"/>
          <w:sz w:val="24"/>
          <w:szCs w:val="24"/>
          <w:lang w:val="ru-RU"/>
        </w:rPr>
        <w:t>УТВЕРЖДЕНЫ</w:t>
      </w:r>
    </w:p>
    <w:p w:rsidR="005661C0" w:rsidRPr="000E0324" w:rsidRDefault="005661C0" w:rsidP="00903CB0">
      <w:pPr>
        <w:spacing w:before="3" w:after="0" w:line="170" w:lineRule="exact"/>
        <w:rPr>
          <w:rFonts w:ascii="Times New Roman" w:hAnsi="Times New Roman" w:cs="Times New Roman"/>
          <w:sz w:val="24"/>
          <w:szCs w:val="24"/>
          <w:lang w:val="ru-RU"/>
        </w:rPr>
      </w:pPr>
    </w:p>
    <w:p w:rsidR="005661C0" w:rsidRPr="000E0324" w:rsidRDefault="00855820" w:rsidP="00903CB0">
      <w:pPr>
        <w:spacing w:after="0"/>
        <w:ind w:left="4389" w:right="126" w:hanging="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Решением Совета Евразийской экономической комиссии от 3 ноября 2016 г. № 85</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3842" w:right="3872"/>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ПРАВИЛА</w:t>
      </w:r>
    </w:p>
    <w:p w:rsidR="005661C0" w:rsidRPr="000E0324" w:rsidRDefault="00855820" w:rsidP="00903CB0">
      <w:pPr>
        <w:spacing w:after="0" w:line="344" w:lineRule="exact"/>
        <w:ind w:left="455" w:right="447"/>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b/>
          <w:bCs/>
          <w:sz w:val="24"/>
          <w:szCs w:val="24"/>
          <w:lang w:val="ru-RU"/>
        </w:rPr>
        <w:t>проведения исследований биоэквивалентности лекарственных препаратов в рамках Евразийского экономического союза</w:t>
      </w:r>
    </w:p>
    <w:p w:rsidR="005661C0" w:rsidRPr="000E0324" w:rsidRDefault="005661C0" w:rsidP="00903CB0">
      <w:pPr>
        <w:spacing w:before="15" w:after="0" w:line="280" w:lineRule="exact"/>
        <w:rPr>
          <w:rFonts w:ascii="Times New Roman" w:hAnsi="Times New Roman" w:cs="Times New Roman"/>
          <w:sz w:val="24"/>
          <w:szCs w:val="24"/>
          <w:lang w:val="ru-RU"/>
        </w:rPr>
      </w:pPr>
    </w:p>
    <w:p w:rsidR="005661C0" w:rsidRPr="000E0324" w:rsidRDefault="00855820" w:rsidP="00903CB0">
      <w:pPr>
        <w:spacing w:after="0" w:line="240" w:lineRule="auto"/>
        <w:ind w:left="3422" w:right="341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w:t>
      </w:r>
      <w:r w:rsidRPr="000E0324">
        <w:rPr>
          <w:rFonts w:ascii="Times New Roman" w:eastAsia="Times New Roman" w:hAnsi="Times New Roman" w:cs="Times New Roman"/>
          <w:sz w:val="24"/>
          <w:szCs w:val="24"/>
          <w:lang w:val="ru-RU"/>
        </w:rPr>
        <w:t>. Общие положения</w:t>
      </w:r>
    </w:p>
    <w:p w:rsidR="005661C0" w:rsidRPr="000E0324" w:rsidRDefault="005661C0" w:rsidP="00903CB0">
      <w:pPr>
        <w:spacing w:before="4" w:after="0" w:line="26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Настоящие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устанавливают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разработке дизайна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плана 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зависимости от отбора и формирования групп субъектов исследований, маскирования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биоэквивалентности и анализу их результатов, а также основания для замены исследований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 xml:space="preserve">исследованиями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vitro</w:t>
      </w:r>
      <w:r w:rsidRPr="000E0324">
        <w:rPr>
          <w:rFonts w:ascii="Times New Roman" w:eastAsia="Times New Roman" w:hAnsi="Times New Roman" w:cs="Times New Roman"/>
          <w:sz w:val="24"/>
          <w:szCs w:val="24"/>
          <w:lang w:val="ru-RU"/>
        </w:rPr>
        <w:t>.</w:t>
      </w:r>
    </w:p>
    <w:p w:rsidR="005661C0" w:rsidRPr="000E0324" w:rsidRDefault="00855820" w:rsidP="00785F17">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Цель проведения исследований биоэквивалентности – доказать эквивалентность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воспроизведенного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(гибридного)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 референтному лекарственному препарату по качеству, чтобы экстраполировать результаты доклинических испытаний и клинических исследований, проведенных в отношении референтного лекарственного препарата, на воспроизведенный (гибридный) лекарственный препарат. Проведение исследований биоэквивалентности требуется при внесении изменений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регистрационное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досье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зарегистрированного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состава вспомогательных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технологии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места</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производства, укрупнении или разукрупнении промышленной серии и т. 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предрегистрационном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этапе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существенном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изменении состава, технологии производства лекарственного препарата (если основные доклинические 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клинические исследования проведены с неизмененным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экстраполировать полученные данные о безопасности и эффективности на измененный лекарственный препарат), при изменении лекарственной формы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немедленным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модифицированным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разработке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комбинированных лекарственных препаратов и в иных случаях.</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Два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одинаковое количество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считаются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биоэквивалентными,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фармацевтически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фармацевтически альтернативными и их биодоступность (по скорости и степени) после применения в одинаковой молярной дозе укладывается в заранее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установленные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пределы устанавливаются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обеспечения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сопоставимости биофармацевтических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которой выпускаются лекарственные препараты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(то есть сопоставимости их по эффективности и безопасности).</w:t>
      </w:r>
    </w:p>
    <w:p w:rsidR="005661C0" w:rsidRPr="000E0324" w:rsidRDefault="00855820" w:rsidP="00903CB0">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3. Для определения скорости и степени абсорбции в исследованиях биоэквивалентности обычно используется кривая «концентрация – время». Следующие фармакокинетические параметры и заранее установленные границы их допустимых отклонений позволяют судить о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сравниваемых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путем оценки их сравнительной биодоступности:</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площадь под кривой «концентрация – время»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sz w:val="24"/>
          <w:szCs w:val="24"/>
          <w:lang w:val="ru-RU"/>
        </w:rPr>
        <w:t>), отражающая величину экспозиции;</w:t>
      </w:r>
    </w:p>
    <w:p w:rsidR="005661C0" w:rsidRPr="000E0324" w:rsidRDefault="00855820" w:rsidP="00903CB0">
      <w:pPr>
        <w:spacing w:before="21" w:after="0" w:line="344" w:lineRule="auto"/>
        <w:ind w:left="102" w:right="43"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максимальная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72"/>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крови,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плазме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сыворотке (далее также – плазма, биожидкость);</w:t>
      </w:r>
    </w:p>
    <w:p w:rsidR="005661C0" w:rsidRPr="000E0324" w:rsidRDefault="00855820" w:rsidP="000E0324">
      <w:pPr>
        <w:spacing w:before="21" w:after="0" w:line="344" w:lineRule="auto"/>
        <w:ind w:left="102" w:right="43"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время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достижения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максимальной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биожидкости</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p>
    <w:p w:rsidR="005661C0" w:rsidRPr="000E0324" w:rsidRDefault="00855820" w:rsidP="00903CB0">
      <w:pPr>
        <w:spacing w:after="0" w:line="352"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При этом С</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 xml:space="preserve">и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являются параметрами, на которые оказывает влияние скорость абсорбции действующего вещества из лекарственной формы.</w:t>
      </w:r>
    </w:p>
    <w:p w:rsidR="005661C0" w:rsidRPr="000E0324" w:rsidRDefault="00855820" w:rsidP="00903CB0">
      <w:pPr>
        <w:spacing w:before="1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Настоящие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распространяются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лекарственные препараты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твердых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немедленным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содержат требования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планированию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путем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сравнительной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биодоступности разновидностей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немедленным 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соответствии с общими требованиями согласно приложению № 1.</w:t>
      </w:r>
    </w:p>
    <w:p w:rsidR="005661C0" w:rsidRPr="000E0324" w:rsidRDefault="00855820" w:rsidP="00785F17">
      <w:pPr>
        <w:spacing w:before="7"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Разработка дизайна и проведение исследований, анализ данных сравнительной биодоступности для подтверждения биоэквивалентности лекарственных форм таких лекарственных препаратов проводятся в 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биоэквивалентность невозможно подтвердить с помощью исследований биодоступности,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проводятся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фармакодинамические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клинические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согласно</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приложениям</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2 и 3.</w:t>
      </w:r>
    </w:p>
    <w:p w:rsidR="005661C0" w:rsidRPr="000E0324" w:rsidRDefault="00855820" w:rsidP="00785F17">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устанавливаются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не</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требуется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дополнительных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подразделом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7</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видов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процедуры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биовейвер,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биофармацевтической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системе классификации – в соответствии с приложением № 4).</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 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выпускаются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sz w:val="24"/>
          <w:szCs w:val="24"/>
          <w:lang w:val="ru-RU"/>
        </w:rPr>
        <w:t xml:space="preserve"> модифицированным высвобождением, трансдермальных лекарственных формах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ингаляционных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липосомальных лекарственных формах исследования следует проводить в соответствии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входящими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 (далее – Союз), в сфере обращения лекарственных средств.</w:t>
      </w:r>
    </w:p>
    <w:p w:rsidR="005661C0" w:rsidRPr="000E0324" w:rsidRDefault="00855820" w:rsidP="00903CB0">
      <w:pPr>
        <w:spacing w:before="7" w:after="0" w:line="360"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 Сфера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ограничена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сравнением химических </w:t>
      </w:r>
      <w:r w:rsidRPr="000E0324">
        <w:rPr>
          <w:rFonts w:ascii="Times New Roman" w:eastAsia="Times New Roman" w:hAnsi="Times New Roman" w:cs="Times New Roman"/>
          <w:sz w:val="24"/>
          <w:szCs w:val="24"/>
          <w:lang w:val="ru-RU"/>
        </w:rPr>
        <w:lastRenderedPageBreak/>
        <w:t>соединений. Порядок сравнения биологических лекарственных препаратов с референтными лекарственными препаратами установлены в правилах проведения исследований биологических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Евразийского 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экономической комиссией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Комиссия).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 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растительных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 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изложенные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 Правилах,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растительным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мере охарактеризованы.</w:t>
      </w:r>
    </w:p>
    <w:p w:rsidR="005661C0" w:rsidRPr="000E0324" w:rsidRDefault="00855820" w:rsidP="00903CB0">
      <w:pPr>
        <w:spacing w:before="5" w:after="0" w:line="360"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 Настоящие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подаче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заявлений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 регистрации лекарственных препаратов в рамках Союза.</w:t>
      </w:r>
    </w:p>
    <w:p w:rsidR="005661C0" w:rsidRPr="000E0324" w:rsidRDefault="00855820" w:rsidP="00785F17">
      <w:pPr>
        <w:spacing w:before="6"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 Исследуемые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надлежащей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производственной практики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утверждаемых</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Комиссией,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документального подтверждения в регистрационном досье.</w:t>
      </w:r>
    </w:p>
    <w:p w:rsidR="005661C0" w:rsidRPr="000E0324" w:rsidRDefault="00855820" w:rsidP="00903CB0">
      <w:pPr>
        <w:spacing w:before="4" w:after="0" w:line="360" w:lineRule="auto"/>
        <w:ind w:left="102" w:right="3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пределами территории Союза, должны соответствовать настоящим Правилам и другим актам,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входящим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сфере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обращения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 средств.</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 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вопросам,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урегулированным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Правилах, заявители вправе обращаться в Экспертный комитет по лекарственным средствам при Комиссии (далее – Экспертный комитет при Комиссии) за консультацией.</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3717" w:right="3708"/>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II</w:t>
      </w:r>
      <w:r w:rsidRPr="000E0324">
        <w:rPr>
          <w:rFonts w:ascii="Times New Roman" w:eastAsia="Times New Roman" w:hAnsi="Times New Roman" w:cs="Times New Roman"/>
          <w:sz w:val="24"/>
          <w:szCs w:val="24"/>
          <w:lang w:val="ru-RU"/>
        </w:rPr>
        <w:t>. Определения</w:t>
      </w:r>
    </w:p>
    <w:p w:rsidR="005661C0" w:rsidRPr="000E0324" w:rsidRDefault="005661C0" w:rsidP="00903CB0">
      <w:pPr>
        <w:spacing w:before="6" w:after="0" w:line="26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 Для целей настоящих Правил используются понятия, которые означают следующее:</w:t>
      </w:r>
    </w:p>
    <w:p w:rsidR="005661C0" w:rsidRPr="000E0324" w:rsidRDefault="00855820" w:rsidP="00903CB0">
      <w:pPr>
        <w:spacing w:before="8" w:after="0" w:line="359"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«биовейвер»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biowaiver</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процедура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биоэквивалентности лекарственного препарата без проведения исследования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Pr="000E0324">
        <w:rPr>
          <w:rFonts w:ascii="Times New Roman" w:eastAsia="Times New Roman" w:hAnsi="Times New Roman" w:cs="Times New Roman"/>
          <w:sz w:val="24"/>
          <w:szCs w:val="24"/>
          <w:lang w:val="ru-RU"/>
        </w:rPr>
        <w:t>;</w:t>
      </w:r>
    </w:p>
    <w:p w:rsidR="005661C0" w:rsidRPr="000E0324" w:rsidRDefault="00855820" w:rsidP="00903CB0">
      <w:pPr>
        <w:spacing w:before="8"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«биологическая доступность», «биодоступность» (</w:t>
      </w:r>
      <w:r w:rsidRPr="000E0324">
        <w:rPr>
          <w:rFonts w:ascii="Times New Roman" w:eastAsia="Times New Roman" w:hAnsi="Times New Roman" w:cs="Times New Roman"/>
          <w:sz w:val="24"/>
          <w:szCs w:val="24"/>
        </w:rPr>
        <w:t>bioavailability</w:t>
      </w:r>
      <w:r w:rsidRPr="000E0324">
        <w:rPr>
          <w:rFonts w:ascii="Times New Roman" w:eastAsia="Times New Roman" w:hAnsi="Times New Roman" w:cs="Times New Roman"/>
          <w:sz w:val="24"/>
          <w:szCs w:val="24"/>
          <w:lang w:val="ru-RU"/>
        </w:rPr>
        <w:t>) – скорость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активная часть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молекулы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абсорбируются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становятся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доступными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своего действия.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абсолютный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относительный показатель.</w:t>
      </w:r>
    </w:p>
    <w:p w:rsidR="005661C0" w:rsidRPr="000E0324" w:rsidRDefault="00855820" w:rsidP="00785F17">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Абсолютную биодоступность действующего вещества (активной части молекулы действующего вещества) в определенной лекарственной форме определяют путем сравнения с биодоступностью этого 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внутрисосудистом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последняя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приравнивается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100</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процентам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раствором для внутривенного введения).</w:t>
      </w:r>
    </w:p>
    <w:p w:rsidR="005661C0" w:rsidRPr="000E0324" w:rsidRDefault="00855820" w:rsidP="00903CB0">
      <w:pPr>
        <w:spacing w:before="4"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Относительную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(активной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молекулы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определенной лекарственной форме определяют путем сравнения с </w:t>
      </w:r>
      <w:r w:rsidRPr="000E0324">
        <w:rPr>
          <w:rFonts w:ascii="Times New Roman" w:eastAsia="Times New Roman" w:hAnsi="Times New Roman" w:cs="Times New Roman"/>
          <w:sz w:val="24"/>
          <w:szCs w:val="24"/>
          <w:lang w:val="ru-RU"/>
        </w:rPr>
        <w:lastRenderedPageBreak/>
        <w:t>биодоступностью другой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внутривенным) путем (например, таблетки в сравнении с раствором для приема внутрь).</w:t>
      </w:r>
    </w:p>
    <w:p w:rsidR="005661C0" w:rsidRPr="000E0324" w:rsidRDefault="00855820" w:rsidP="00903CB0">
      <w:pPr>
        <w:spacing w:before="7" w:after="0" w:line="359"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Основой проведения исследований биоэквивалентности и биодоступности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большинства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 определение относительной биодоступности.</w:t>
      </w:r>
    </w:p>
    <w:p w:rsidR="005661C0" w:rsidRPr="000E0324" w:rsidRDefault="00855820" w:rsidP="00903CB0">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Биодоступность лекарственных препаратов, не предполагающих всасывания в кровоток, допускается оценивать с помощью параметров, способных отразить скорость и степень доступности действующего вещества или активной части молекулы действующего вещества в месте своего действия;</w:t>
      </w:r>
    </w:p>
    <w:p w:rsidR="005661C0" w:rsidRPr="000E0324" w:rsidRDefault="00855820" w:rsidP="00785F17">
      <w:pPr>
        <w:spacing w:before="7" w:after="0" w:line="360" w:lineRule="auto"/>
        <w:ind w:left="102" w:right="3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«биологическая эквивалентность», «биоэквивалентность» (</w:t>
      </w:r>
      <w:r w:rsidRPr="000E0324">
        <w:rPr>
          <w:rFonts w:ascii="Times New Roman" w:eastAsia="Times New Roman" w:hAnsi="Times New Roman" w:cs="Times New Roman"/>
          <w:sz w:val="24"/>
          <w:szCs w:val="24"/>
        </w:rPr>
        <w:t>bioequivalence</w:t>
      </w:r>
      <w:r w:rsidRPr="000E0324">
        <w:rPr>
          <w:rFonts w:ascii="Times New Roman" w:eastAsia="Times New Roman" w:hAnsi="Times New Roman" w:cs="Times New Roman"/>
          <w:sz w:val="24"/>
          <w:szCs w:val="24"/>
          <w:lang w:val="ru-RU"/>
        </w:rPr>
        <w:t>) – отсутствие значимых различий по скорости и степени,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молекулы 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фармацевтических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фармацевтических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альтернатив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становятся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доступными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своего действия при введении в одинаковой молярной дозе в схожих условиях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надлежащим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дизайном.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наличии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намеренных различий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модифицированным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определенные фармацевтические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фармацевтические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альтернативы могут быть признаны биоэквивалентными, если отсутствуют значимые 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активная</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часть молекулы действующего вещества из каждого лекарственного препарата становятся доступными в месте своего действия. Правило применимо только в случае различия в скорости, с которой действующее 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молекулы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становятся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доступными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запланированы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отражены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характеристике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незначимы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достижения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эффективной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молекулы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организме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длительном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медицинской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зрения признаны незначимыми для лекарственного препарата.</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Изучение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осуществляться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in</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(фармакокинетические,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фармакодинамические, клинические исследования), так и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vitro</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(например, исследования теста сравнительной кинетики растворения);</w:t>
      </w:r>
    </w:p>
    <w:p w:rsidR="005661C0" w:rsidRPr="000E0324" w:rsidRDefault="00855820" w:rsidP="00903CB0">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«биофармацевтическая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система классификации» (</w:t>
      </w:r>
      <w:r w:rsidRPr="000E0324">
        <w:rPr>
          <w:rFonts w:ascii="Times New Roman" w:eastAsia="Times New Roman" w:hAnsi="Times New Roman" w:cs="Times New Roman"/>
          <w:sz w:val="24"/>
          <w:szCs w:val="24"/>
        </w:rPr>
        <w:t>biopharmaceutics</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classification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system</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BCS</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БСК)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научный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подход,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позволяющий разделить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 основании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кишечной проницаемости.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Вместе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тестом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кинетики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БСК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учитывает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фактора, влияющих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абсорбции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немедленным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 внутрь: растворение, растворимость и кишечную проницаемость;</w:t>
      </w:r>
    </w:p>
    <w:p w:rsidR="005661C0" w:rsidRPr="000E0324" w:rsidRDefault="00855820" w:rsidP="00785F17">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«воспроизведенный лекарственный 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«генерик» – лекарственный препарат, имеющий такой же качественный и количественный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(активных </w:t>
      </w:r>
      <w:r w:rsidRPr="000E0324">
        <w:rPr>
          <w:rFonts w:ascii="Times New Roman" w:eastAsia="Times New Roman" w:hAnsi="Times New Roman" w:cs="Times New Roman"/>
          <w:sz w:val="24"/>
          <w:szCs w:val="24"/>
          <w:lang w:val="ru-RU"/>
        </w:rPr>
        <w:lastRenderedPageBreak/>
        <w:t>фармацевтических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субстанций)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референтный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которого</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подтверждается соответствующими исследованиями биодоступности.</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Различные соли, эфиры, изомеры, смеси изомеров, комплексы или производные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признаются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 действующим веществом, если их безопасность и (или) эффективность значимо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отличаются.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 внутрь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немедленным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признаются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 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формой (с биофармацевтической точки зрения);</w:t>
      </w:r>
    </w:p>
    <w:p w:rsidR="005661C0" w:rsidRPr="000E0324" w:rsidRDefault="00855820" w:rsidP="00903CB0">
      <w:pPr>
        <w:spacing w:before="5" w:after="0" w:line="360" w:lineRule="auto"/>
        <w:ind w:left="102" w:right="3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«гибридный лекарственный препарат» – лекарственный препарат, не подпадающий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воспроизведенного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 приведенного в настоящих Правилах, или, при невозможности подтверждения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помощью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 биодоступности,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(действующие вещества), показания к применению, дозировка, лекарственная форма или путь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отличаются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таковых 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представления результатов доклинических и (или) клинических исследований;</w:t>
      </w:r>
    </w:p>
    <w:p w:rsidR="005661C0" w:rsidRPr="000E0324" w:rsidRDefault="00855820" w:rsidP="00903CB0">
      <w:pPr>
        <w:spacing w:before="7" w:after="0" w:line="359" w:lineRule="auto"/>
        <w:ind w:left="102" w:right="33"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«доза лекарственного препарата» (</w:t>
      </w:r>
      <w:r w:rsidRPr="000E0324">
        <w:rPr>
          <w:rFonts w:ascii="Times New Roman" w:eastAsia="Times New Roman" w:hAnsi="Times New Roman" w:cs="Times New Roman"/>
          <w:sz w:val="24"/>
          <w:szCs w:val="24"/>
        </w:rPr>
        <w:t>dose</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количество действующего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(однократное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многократное применение);</w:t>
      </w:r>
    </w:p>
    <w:p w:rsidR="005661C0" w:rsidRPr="000E0324" w:rsidRDefault="00855820" w:rsidP="00903CB0">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«дозировка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strength</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 выраженное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единице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дозирования, объема или массы в соответствии с лекарственной формой;</w:t>
      </w:r>
    </w:p>
    <w:p w:rsidR="005661C0" w:rsidRPr="000E0324" w:rsidRDefault="00855820" w:rsidP="00785F17">
      <w:pPr>
        <w:spacing w:before="7" w:after="0" w:line="359" w:lineRule="auto"/>
        <w:ind w:left="102" w:right="3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«испытание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quality</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control</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dissolution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test</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предусмотренное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Фармакопеей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испытание, проводимое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рутинного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контрольным</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немедленным высвобождением и с 3 и более контрольными временными периодами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модифицированным высвобождением;</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«комбинированный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fixed</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dose</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combination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finished</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pharmaceutical</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product</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FDC</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FPP</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готовый 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 содержащий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 действующих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 (активных фармацевтических субстанций);</w:t>
      </w:r>
    </w:p>
    <w:p w:rsidR="005661C0" w:rsidRPr="000E0324" w:rsidRDefault="00855820" w:rsidP="00903CB0">
      <w:pPr>
        <w:spacing w:before="7" w:after="0" w:line="359"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«лекарственная форма» (</w:t>
      </w:r>
      <w:r w:rsidRPr="000E0324">
        <w:rPr>
          <w:rFonts w:ascii="Times New Roman" w:eastAsia="Times New Roman" w:hAnsi="Times New Roman" w:cs="Times New Roman"/>
          <w:sz w:val="24"/>
          <w:szCs w:val="24"/>
        </w:rPr>
        <w:t>dosage</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form</w:t>
      </w:r>
      <w:r w:rsidRPr="000E0324">
        <w:rPr>
          <w:rFonts w:ascii="Times New Roman" w:eastAsia="Times New Roman" w:hAnsi="Times New Roman" w:cs="Times New Roman"/>
          <w:sz w:val="24"/>
          <w:szCs w:val="24"/>
          <w:lang w:val="ru-RU"/>
        </w:rPr>
        <w:t>) – состояние лекарственного препарата, соответствующее способам его введения и применения и обеспечивающее достижение необходимого эффекта;</w:t>
      </w:r>
    </w:p>
    <w:p w:rsidR="005661C0" w:rsidRPr="000E0324" w:rsidRDefault="00855820" w:rsidP="00903CB0">
      <w:pPr>
        <w:spacing w:before="7" w:after="0" w:line="359"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«наполнители» – разновидность вспомогательных веществ, используемых для придания твердым лекарственным формам заданного размера;</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«оригинальный лекарственный препарат» (</w:t>
      </w:r>
      <w:r w:rsidRPr="000E0324">
        <w:rPr>
          <w:rFonts w:ascii="Times New Roman" w:eastAsia="Times New Roman" w:hAnsi="Times New Roman" w:cs="Times New Roman"/>
          <w:sz w:val="24"/>
          <w:szCs w:val="24"/>
        </w:rPr>
        <w:t>innovator</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pharmaceutical</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product</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новым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веществом, который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зарегистрирован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размещен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мировом фармацевтическом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рынке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регистрационного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досье, содержащего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подтверждающих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качество, безопасность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эффективность,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содержанию требованиям,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установленным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Правилам регистрации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экспертизы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медицинского применения;</w:t>
      </w:r>
    </w:p>
    <w:p w:rsidR="005661C0" w:rsidRPr="000E0324" w:rsidRDefault="00855820" w:rsidP="00785F17">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«референтный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 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«компаратор»,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comparator</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product</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эталона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сравнительной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нормирования исследуемых параметров;</w:t>
      </w:r>
    </w:p>
    <w:p w:rsidR="005661C0" w:rsidRPr="000E0324" w:rsidRDefault="00855820" w:rsidP="00903CB0">
      <w:pPr>
        <w:spacing w:before="4"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«тест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сравнительной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кинетики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equivalence</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dissolution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test</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ТСКР)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себя сравнение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3 средах – буферных растворах с </w:t>
      </w:r>
      <w:r w:rsidRPr="000E0324">
        <w:rPr>
          <w:rFonts w:ascii="Times New Roman" w:eastAsia="Times New Roman" w:hAnsi="Times New Roman" w:cs="Times New Roman"/>
          <w:sz w:val="24"/>
          <w:szCs w:val="24"/>
        </w:rPr>
        <w:t>pH</w:t>
      </w:r>
      <w:r w:rsidRPr="000E0324">
        <w:rPr>
          <w:rFonts w:ascii="Times New Roman" w:eastAsia="Times New Roman" w:hAnsi="Times New Roman" w:cs="Times New Roman"/>
          <w:sz w:val="24"/>
          <w:szCs w:val="24"/>
          <w:lang w:val="ru-RU"/>
        </w:rPr>
        <w:t xml:space="preserve"> 1,2; 4,5 и 6,8;</w:t>
      </w:r>
    </w:p>
    <w:p w:rsidR="005661C0" w:rsidRPr="000E0324" w:rsidRDefault="00855820" w:rsidP="00903CB0">
      <w:pPr>
        <w:spacing w:before="4" w:after="0" w:line="360"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«фармацевтическая эквивалентность», «фармацевтические эквиваленты» (</w:t>
      </w:r>
      <w:r w:rsidRPr="000E0324">
        <w:rPr>
          <w:rFonts w:ascii="Times New Roman" w:eastAsia="Times New Roman" w:hAnsi="Times New Roman" w:cs="Times New Roman"/>
          <w:sz w:val="24"/>
          <w:szCs w:val="24"/>
        </w:rPr>
        <w:t>pharmaceutical</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equivalence</w:t>
      </w:r>
      <w:r w:rsidRPr="000E0324">
        <w:rPr>
          <w:rFonts w:ascii="Times New Roman" w:eastAsia="Times New Roman" w:hAnsi="Times New Roman" w:cs="Times New Roman"/>
          <w:sz w:val="24"/>
          <w:szCs w:val="24"/>
          <w:lang w:val="ru-RU"/>
        </w:rPr>
        <w:t>) – лекарственные препараты в идентичных лекарственных формах, которые содержат одинаковое количество идентичного действующего вещества (активную фармацевтическую субстанцию), то есть одинаковую соль или эфир одной и той же активной части молекулы действующего вещества или в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модифицированным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 требующим создания резервуара или избытка, или в таких формах, как предварительно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заполненные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шприцы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варьировать остаточный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объем),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доставляют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идентичное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количество 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идентичного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дозирования. Фармацевтические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необязательно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одинаковые неактивные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ингредиенты.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удовлетворяют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идентичным фармакопейным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подлинности, дозировке,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чистоте,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применимых случаях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однородности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содержимого,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времени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распадения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скорости растворения;</w:t>
      </w:r>
    </w:p>
    <w:p w:rsidR="005661C0" w:rsidRPr="000E0324" w:rsidRDefault="00855820" w:rsidP="00785F17">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«фармацевтически альтернативные лекарственные препараты (</w:t>
      </w:r>
      <w:r w:rsidRPr="000E0324">
        <w:rPr>
          <w:rFonts w:ascii="Times New Roman" w:eastAsia="Times New Roman" w:hAnsi="Times New Roman" w:cs="Times New Roman"/>
          <w:sz w:val="24"/>
          <w:szCs w:val="24"/>
        </w:rPr>
        <w:t>pharmaceutical</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alternatives</w:t>
      </w:r>
      <w:r w:rsidRPr="000E0324">
        <w:rPr>
          <w:rFonts w:ascii="Times New Roman" w:eastAsia="Times New Roman" w:hAnsi="Times New Roman" w:cs="Times New Roman"/>
          <w:sz w:val="24"/>
          <w:szCs w:val="24"/>
          <w:lang w:val="ru-RU"/>
        </w:rPr>
        <w:t>)» – лекарственные препараты, содержащие одинаковую активную часть молекулы действующего вещества или его предшественник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(прекурсор),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(необязательно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одинаковом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лекарственной форме) или одинаковую соль или эфир. Каждый такой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индивидуальном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порядке удовлетворяет идентичным либо своим собственным соответствующим фармакопейным или другим применимым стандартам по подлинности, дозировке,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чистоте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применимых случаях однородность содержимого, время распадения и (или) скорость растворения);</w:t>
      </w:r>
    </w:p>
    <w:p w:rsidR="005661C0" w:rsidRPr="000E0324" w:rsidRDefault="00855820" w:rsidP="00903CB0">
      <w:pPr>
        <w:spacing w:before="5" w:after="0" w:line="360"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«фиксированная комбинация доз» (</w:t>
      </w:r>
      <w:r w:rsidRPr="000E0324">
        <w:rPr>
          <w:rFonts w:ascii="Times New Roman" w:eastAsia="Times New Roman" w:hAnsi="Times New Roman" w:cs="Times New Roman"/>
          <w:sz w:val="24"/>
          <w:szCs w:val="24"/>
        </w:rPr>
        <w:t>fixed</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dose</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combination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FDC</w:t>
      </w:r>
      <w:r w:rsidRPr="000E0324">
        <w:rPr>
          <w:rFonts w:ascii="Times New Roman" w:eastAsia="Times New Roman" w:hAnsi="Times New Roman" w:cs="Times New Roman"/>
          <w:sz w:val="24"/>
          <w:szCs w:val="24"/>
          <w:lang w:val="ru-RU"/>
        </w:rPr>
        <w:t>, ФКД) – комбинация 2 и более действующих веществ с установленным соотношением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ФКД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обозначения конкретной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комбинации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зависимости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 состава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торгового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наименования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Комбинация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 совокупность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монокомпонентных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 применяемых одновременно, так и в виде готового многокомпонентного лекарственного препарата.</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значимыми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понимаются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 исследования лекарственного препарата, которые оказывают влияние на информацию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безопасности,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эффективности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области возможного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заявленной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общей характеристике лекарственного препарата.</w:t>
      </w:r>
    </w:p>
    <w:p w:rsidR="005661C0" w:rsidRPr="000E0324" w:rsidRDefault="005661C0" w:rsidP="00903CB0">
      <w:pPr>
        <w:spacing w:before="13" w:after="0" w:line="240" w:lineRule="exact"/>
        <w:rPr>
          <w:rFonts w:ascii="Times New Roman" w:hAnsi="Times New Roman" w:cs="Times New Roman"/>
          <w:sz w:val="24"/>
          <w:szCs w:val="24"/>
          <w:lang w:val="ru-RU"/>
        </w:rPr>
      </w:pPr>
    </w:p>
    <w:p w:rsidR="005661C0" w:rsidRPr="000E0324" w:rsidRDefault="00855820" w:rsidP="00903CB0">
      <w:pPr>
        <w:spacing w:after="0" w:line="344" w:lineRule="exact"/>
        <w:ind w:left="2542" w:right="1649" w:hanging="833"/>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III</w:t>
      </w:r>
      <w:r w:rsidRPr="000E0324">
        <w:rPr>
          <w:rFonts w:ascii="Times New Roman" w:eastAsia="Times New Roman" w:hAnsi="Times New Roman" w:cs="Times New Roman"/>
          <w:sz w:val="24"/>
          <w:szCs w:val="24"/>
          <w:lang w:val="ru-RU"/>
        </w:rPr>
        <w:t>. Требования к дизайну, проведению и оценке исследований биоэквивалентности</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785F17">
      <w:pPr>
        <w:spacing w:after="0" w:line="336"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12. Объем и дизайн исследований биоэквивалентности необходимо обосновать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физико-химическими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свойствами 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пропорциональностью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состава лекарственного препарата. В частности, 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учитывать линейность фармакокинетики,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зависимости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пищи,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энантиомеров,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 целесообразность проведения исследований дополнительных дозировок (в соответствии с требованиями подразделов 4 – 7 настоящего раздела).</w:t>
      </w:r>
    </w:p>
    <w:p w:rsidR="005661C0" w:rsidRPr="000E0324" w:rsidRDefault="00855820" w:rsidP="00903CB0">
      <w:pPr>
        <w:spacing w:before="7" w:after="0" w:line="335"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13.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модуле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2.7.1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регистрационного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досье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общего технического документа необходимо представить перечень всех значимых исследований (независимо от их результатов), проведенных с лекарственным препаратом, в том числе исследования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заявляемого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регистрации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имеющего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процесс производства)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препаратом (в соответствии с требованиями подраздела 2 настоящего раздела).</w:t>
      </w:r>
    </w:p>
    <w:p w:rsidR="005661C0" w:rsidRPr="000E0324" w:rsidRDefault="00855820" w:rsidP="00903CB0">
      <w:pPr>
        <w:spacing w:before="7" w:after="0" w:line="336"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отношении всех проведенных исследований в составе модуля 5 регистрационного досье необходимо представить полные отчеты, за исключением пилотных исследований, для которых, если они проводились, достаточно привести краткие синопсисы, которые оформляются в соответствии с приложением № 2 к правилам надлежащей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практики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Комиссией. Полный отчет о пилотных исследованиях, в данном случае, необходимо 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уполномоченных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органов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государств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членов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государства-члены).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модуль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2.7</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синопсисы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 биоэквивалентности и сравнительной биодоступности, проведенных на стадии разработки лекарственного препарата.</w:t>
      </w:r>
    </w:p>
    <w:p w:rsidR="005661C0" w:rsidRPr="000E0324" w:rsidRDefault="005661C0" w:rsidP="00903CB0">
      <w:pPr>
        <w:spacing w:before="2"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210" w:right="3202"/>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Дизайн исследования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14. Дизайн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образом, 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фармакокинетические параметры можно было отличить от влияния других факторов.</w:t>
      </w:r>
    </w:p>
    <w:p w:rsidR="005661C0" w:rsidRPr="000E0324" w:rsidRDefault="00855820" w:rsidP="000E0324">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15. Стандартный дизайн предполагает следующее.</w:t>
      </w:r>
    </w:p>
    <w:p w:rsidR="005661C0" w:rsidRPr="000E0324" w:rsidRDefault="00855820" w:rsidP="000E0324">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рекомендуется 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рандомизированное,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двухпериодное,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перекрестное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 последовательностях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однократной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 Периоды должны быть разделены отмывочным периодом, достаточным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снижения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порога биоаналитического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начале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второго периода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Обычно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периодов полувыведения.</w:t>
      </w:r>
    </w:p>
    <w:p w:rsidR="005661C0" w:rsidRPr="000E0324" w:rsidRDefault="00855820" w:rsidP="000E0324">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16. Альтернативный дизайн предполагает следующее.</w:t>
      </w:r>
    </w:p>
    <w:p w:rsidR="005661C0" w:rsidRPr="000E0324" w:rsidRDefault="00855820" w:rsidP="000E0324">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некоторых случаях, при условии того, что дизайн исследования 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статистический анализ научно обоснованы, можно рассматривать альтернативные общепризнанные дизайны: параллельный – для веществ с</w:t>
      </w:r>
      <w:r w:rsidRPr="000E0324">
        <w:rPr>
          <w:rFonts w:ascii="Times New Roman" w:eastAsia="Times New Roman" w:hAnsi="Times New Roman" w:cs="Times New Roman"/>
          <w:spacing w:val="1"/>
          <w:sz w:val="24"/>
          <w:szCs w:val="24"/>
          <w:lang w:val="ru-RU"/>
        </w:rPr>
        <w:t xml:space="preserve"> </w:t>
      </w:r>
      <w:r w:rsidRPr="000E0324">
        <w:rPr>
          <w:rFonts w:ascii="Times New Roman" w:eastAsia="Times New Roman" w:hAnsi="Times New Roman" w:cs="Times New Roman"/>
          <w:sz w:val="24"/>
          <w:szCs w:val="24"/>
          <w:lang w:val="ru-RU"/>
        </w:rPr>
        <w:t>длительным</w:t>
      </w:r>
      <w:r w:rsidRPr="000E0324">
        <w:rPr>
          <w:rFonts w:ascii="Times New Roman" w:eastAsia="Times New Roman" w:hAnsi="Times New Roman" w:cs="Times New Roman"/>
          <w:spacing w:val="1"/>
          <w:sz w:val="24"/>
          <w:szCs w:val="24"/>
          <w:lang w:val="ru-RU"/>
        </w:rPr>
        <w:t xml:space="preserve">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lang w:val="ru-RU"/>
        </w:rPr>
        <w:t>½</w:t>
      </w:r>
      <w:r w:rsidRPr="000E0324">
        <w:rPr>
          <w:rFonts w:ascii="Times New Roman" w:eastAsia="Times New Roman" w:hAnsi="Times New Roman" w:cs="Times New Roman"/>
          <w:sz w:val="24"/>
          <w:szCs w:val="24"/>
          <w:lang w:val="ru-RU"/>
        </w:rPr>
        <w:t>; повторный</w:t>
      </w:r>
      <w:r w:rsidRPr="000E0324">
        <w:rPr>
          <w:rFonts w:ascii="Times New Roman" w:eastAsia="Times New Roman" w:hAnsi="Times New Roman" w:cs="Times New Roman"/>
          <w:spacing w:val="1"/>
          <w:sz w:val="24"/>
          <w:szCs w:val="24"/>
          <w:lang w:val="ru-RU"/>
        </w:rPr>
        <w:t xml:space="preserve"> </w:t>
      </w:r>
      <w:r w:rsidRPr="000E0324">
        <w:rPr>
          <w:rFonts w:ascii="Times New Roman" w:eastAsia="Times New Roman" w:hAnsi="Times New Roman" w:cs="Times New Roman"/>
          <w:sz w:val="24"/>
          <w:szCs w:val="24"/>
          <w:lang w:val="ru-RU"/>
        </w:rPr>
        <w:t>(репликативный,</w:t>
      </w:r>
      <w:r w:rsidRPr="000E0324">
        <w:rPr>
          <w:rFonts w:ascii="Times New Roman" w:eastAsia="Times New Roman" w:hAnsi="Times New Roman" w:cs="Times New Roman"/>
          <w:spacing w:val="1"/>
          <w:sz w:val="24"/>
          <w:szCs w:val="24"/>
          <w:lang w:val="ru-RU"/>
        </w:rPr>
        <w:t xml:space="preserve"> </w:t>
      </w:r>
      <w:r w:rsidRPr="000E0324">
        <w:rPr>
          <w:rFonts w:ascii="Times New Roman" w:eastAsia="Times New Roman" w:hAnsi="Times New Roman" w:cs="Times New Roman"/>
          <w:sz w:val="24"/>
          <w:szCs w:val="24"/>
        </w:rPr>
        <w:t>replicate</w:t>
      </w:r>
      <w:r w:rsidRPr="000E0324">
        <w:rPr>
          <w:rFonts w:ascii="Times New Roman" w:eastAsia="Times New Roman" w:hAnsi="Times New Roman" w:cs="Times New Roman"/>
          <w:spacing w:val="1"/>
          <w:sz w:val="24"/>
          <w:szCs w:val="24"/>
          <w:lang w:val="ru-RU"/>
        </w:rPr>
        <w:t xml:space="preserve"> </w:t>
      </w:r>
      <w:r w:rsidRPr="000E0324">
        <w:rPr>
          <w:rFonts w:ascii="Times New Roman" w:eastAsia="Times New Roman" w:hAnsi="Times New Roman" w:cs="Times New Roman"/>
          <w:sz w:val="24"/>
          <w:szCs w:val="24"/>
        </w:rPr>
        <w:t>design</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1"/>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1"/>
          <w:sz w:val="24"/>
          <w:szCs w:val="24"/>
          <w:lang w:val="ru-RU"/>
        </w:rPr>
        <w:t xml:space="preserve"> </w:t>
      </w:r>
      <w:r w:rsidRPr="000E0324">
        <w:rPr>
          <w:rFonts w:ascii="Times New Roman" w:eastAsia="Times New Roman" w:hAnsi="Times New Roman" w:cs="Times New Roman"/>
          <w:sz w:val="24"/>
          <w:szCs w:val="24"/>
          <w:lang w:val="ru-RU"/>
        </w:rPr>
        <w:t>для веществ с высоко вариабельными фармакокинетическими параметрами (в соответствии с требованиями подраздела 11 настоящего раздела).</w:t>
      </w:r>
    </w:p>
    <w:p w:rsidR="005661C0" w:rsidRPr="000E0324" w:rsidRDefault="00855820" w:rsidP="00903CB0">
      <w:pPr>
        <w:spacing w:before="12"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17.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вследствие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непереносимости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однократной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 здоровыми добровольцами недопустим, а исследование однократной дозы у пациентов провести невозможно, допускается проведение исследования у пациентов с многократным приемом лекарственного препарата.</w:t>
      </w:r>
    </w:p>
    <w:p w:rsidR="005661C0" w:rsidRPr="000E0324" w:rsidRDefault="00855820" w:rsidP="00785F17">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редких случаях, когда недостаточная чувствительность 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препятствует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определению 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жидкости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однократной дозы,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равновесная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получения точных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альтернативы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приемом однократной дозы допустимо проведение исследования с многократным приемом лекарственного препарата. Однако, принимая во внимание, что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многократным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чувствительны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72"/>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только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том 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заявитель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однозначно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доказать,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 чувствительность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улучшена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однократной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точно измерить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невозможно,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учитывая, 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представив соответствующие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превышающие терапевтические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7 настоящего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многократным приемом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вместо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однократного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силу недостаточной чувствительности аналитического метода допустимо только в исключительных случаях.</w:t>
      </w:r>
    </w:p>
    <w:p w:rsidR="005661C0" w:rsidRPr="000E0324" w:rsidRDefault="00855820" w:rsidP="00903CB0">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равновесной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отмывочный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 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предыдущего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 перекрывать нарастание концентрации во втором периоде (при условии, 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продолжительность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нарастания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длительная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и составляет не менее 5 конечных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lang w:val="ru-RU"/>
        </w:rPr>
        <w:t>½</w:t>
      </w:r>
      <w:r w:rsidRPr="000E0324">
        <w:rPr>
          <w:rFonts w:ascii="Times New Roman" w:eastAsia="Times New Roman" w:hAnsi="Times New Roman" w:cs="Times New Roman"/>
          <w:sz w:val="24"/>
          <w:szCs w:val="24"/>
          <w:lang w:val="ru-RU"/>
        </w:rPr>
        <w:t>).</w:t>
      </w:r>
    </w:p>
    <w:p w:rsidR="005661C0" w:rsidRPr="000E0324" w:rsidRDefault="005661C0" w:rsidP="00903CB0">
      <w:pPr>
        <w:spacing w:after="0" w:line="220" w:lineRule="exact"/>
        <w:rPr>
          <w:rFonts w:ascii="Times New Roman" w:hAnsi="Times New Roman" w:cs="Times New Roman"/>
          <w:sz w:val="24"/>
          <w:szCs w:val="24"/>
          <w:lang w:val="ru-RU"/>
        </w:rPr>
      </w:pPr>
    </w:p>
    <w:p w:rsidR="000E0324" w:rsidRPr="000E0324" w:rsidRDefault="000E0324" w:rsidP="00903CB0">
      <w:pPr>
        <w:spacing w:after="0" w:line="240" w:lineRule="auto"/>
        <w:ind w:left="2128" w:right="2121"/>
        <w:jc w:val="center"/>
        <w:rPr>
          <w:rFonts w:ascii="Times New Roman" w:eastAsia="Times New Roman" w:hAnsi="Times New Roman" w:cs="Times New Roman"/>
          <w:sz w:val="24"/>
          <w:szCs w:val="24"/>
        </w:rPr>
      </w:pPr>
    </w:p>
    <w:p w:rsidR="000E0324" w:rsidRPr="000E0324" w:rsidRDefault="000E0324" w:rsidP="00903CB0">
      <w:pPr>
        <w:spacing w:after="0" w:line="240" w:lineRule="auto"/>
        <w:ind w:left="2128" w:right="2121"/>
        <w:jc w:val="center"/>
        <w:rPr>
          <w:rFonts w:ascii="Times New Roman" w:eastAsia="Times New Roman" w:hAnsi="Times New Roman" w:cs="Times New Roman"/>
          <w:sz w:val="24"/>
          <w:szCs w:val="24"/>
        </w:rPr>
      </w:pPr>
    </w:p>
    <w:p w:rsidR="000E0324" w:rsidRPr="000E0324" w:rsidRDefault="000E0324" w:rsidP="00903CB0">
      <w:pPr>
        <w:spacing w:after="0" w:line="240" w:lineRule="auto"/>
        <w:ind w:left="2128" w:right="2121"/>
        <w:jc w:val="center"/>
        <w:rPr>
          <w:rFonts w:ascii="Times New Roman" w:eastAsia="Times New Roman" w:hAnsi="Times New Roman" w:cs="Times New Roman"/>
          <w:sz w:val="24"/>
          <w:szCs w:val="24"/>
        </w:rPr>
      </w:pPr>
    </w:p>
    <w:p w:rsidR="005661C0" w:rsidRPr="000E0324" w:rsidRDefault="00855820" w:rsidP="00903CB0">
      <w:pPr>
        <w:spacing w:after="0" w:line="240" w:lineRule="auto"/>
        <w:ind w:left="2128" w:right="212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2. Референтный лекарственный препарат и исследуемый лекарственный препарат</w:t>
      </w:r>
    </w:p>
    <w:p w:rsidR="005661C0" w:rsidRPr="000E0324" w:rsidRDefault="005661C0" w:rsidP="00903CB0">
      <w:pPr>
        <w:spacing w:before="20" w:after="0" w:line="220" w:lineRule="exact"/>
        <w:rPr>
          <w:rFonts w:ascii="Times New Roman" w:hAnsi="Times New Roman" w:cs="Times New Roman"/>
          <w:sz w:val="24"/>
          <w:szCs w:val="24"/>
          <w:lang w:val="ru-RU"/>
        </w:rPr>
      </w:pPr>
    </w:p>
    <w:p w:rsidR="005661C0" w:rsidRPr="000E0324" w:rsidRDefault="00855820" w:rsidP="00903CB0">
      <w:pPr>
        <w:spacing w:after="0" w:line="240" w:lineRule="auto"/>
        <w:ind w:left="2262" w:right="2254"/>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Референтный лекарственный препарат</w:t>
      </w:r>
    </w:p>
    <w:p w:rsidR="005661C0" w:rsidRPr="000E0324" w:rsidRDefault="005661C0" w:rsidP="00903CB0">
      <w:pPr>
        <w:spacing w:before="11"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4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18.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выборе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исходят из следующей последовательности:</w:t>
      </w:r>
    </w:p>
    <w:p w:rsidR="005661C0" w:rsidRPr="000E0324" w:rsidRDefault="00855820" w:rsidP="00903CB0">
      <w:pPr>
        <w:spacing w:before="6"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оригинальный лекарственный препарат, качество, безопасность и эффективность которого были установлены при регистрации в Союзе («зарегистрированный в Союзе оригинальный препарат»);</w:t>
      </w:r>
    </w:p>
    <w:p w:rsidR="005661C0" w:rsidRPr="000E0324" w:rsidRDefault="00855820" w:rsidP="00785F17">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оригинальный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зарегистрированный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государстве,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уровень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регулированию</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фармацевтического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рынка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установленного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Союзе, при невозможности выполнения подпункта «</w:t>
      </w:r>
      <w:r w:rsidRPr="000E0324">
        <w:rPr>
          <w:rFonts w:ascii="Times New Roman" w:eastAsia="Times New Roman" w:hAnsi="Times New Roman" w:cs="Times New Roman"/>
          <w:sz w:val="24"/>
          <w:szCs w:val="24"/>
        </w:rPr>
        <w:t>a</w:t>
      </w:r>
      <w:r w:rsidRPr="000E0324">
        <w:rPr>
          <w:rFonts w:ascii="Times New Roman" w:eastAsia="Times New Roman" w:hAnsi="Times New Roman" w:cs="Times New Roman"/>
          <w:sz w:val="24"/>
          <w:szCs w:val="24"/>
          <w:lang w:val="ru-RU"/>
        </w:rPr>
        <w:t>» настоящего пункта;</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воспроизведенный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 зарегистрированный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государств-членов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подтвердивший свою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оригинальному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препарату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одобрении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Экспертным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комитетом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Комиссии)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невозможности выполнения подпунктов «а» и «б» настоящего пункта;</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имеющий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опыт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 территории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государств-членов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одобрении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Экспертным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комитетом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средствам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Евразийской экономической комиссии) при невозможности выполнения подпунктов «а» – «в» настоящего пункта.</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19.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воспроизведенного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(гибридного) лекарственного препарата или внесении изменений и дополнений в регистрационное досье лекарственного препарата в части действующих 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пути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введения исследуемый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сравнивают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соответствующей лекарственной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положения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абзаца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второго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настоящего пункта).</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оригинальный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рынке представлен в нескольких лекарственных формах, в качестве референтного лекарственного препарата рекомендуется использовать ту из них, в виде которой он был впервые зарегистрирован и которая использовалась в клинических исследованиях для подтверждения его эффективности и безопасности.</w:t>
      </w:r>
    </w:p>
    <w:p w:rsidR="005661C0" w:rsidRPr="000E0324" w:rsidRDefault="00855820" w:rsidP="00785F17">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20. Заявитель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обязан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учетом результатов количественного определения содержания действующего вещества и данных о его растворении. В серии, подлежащей использованию в качестве исследуемого лекарственного препарата, количественное содержание (установленное с помощью аналитической методики, предложенной для стандартных испытаний качества исследуемого препарата, включенной в спецификацию (нормативный документ по контролю качества)) не должно отличаться 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процентов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Заявитель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помощью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ТСКР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 вещества должен обосновать выбор серии референтного 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планируемой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выборе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рекомендуется изучить несколько серий референтного лекарственного препарата.</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283"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Исследуемый лекарственный препарат</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21. Исследуемый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подлежащий использованию в исследовании биоэквивалентности, не должен отличаться от лекарственного препарата (по составу, технологии производства, производственному оборудованию), который поступит на фармацевтический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рынок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рассмотрено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обосновано заявителем.</w:t>
      </w:r>
    </w:p>
    <w:p w:rsidR="005661C0" w:rsidRPr="000E0324" w:rsidRDefault="00855820" w:rsidP="00903CB0">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22.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твердых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внутрь системного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(полные требования к валидации процесса производства содержатся в правилах надлежащей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практики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актах, входящих в право Союза, в сфере обращения лекарственных средств):</w:t>
      </w:r>
    </w:p>
    <w:p w:rsidR="005661C0" w:rsidRPr="000E0324" w:rsidRDefault="00855820" w:rsidP="00903CB0">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исследуемый лекарственный препарат должен быть отобран из серии, составляющей, 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меньшей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1/10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промышленной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100 000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единиц лекарственных форм, в зависимости от того, какой из объемов больше;</w:t>
      </w:r>
    </w:p>
    <w:p w:rsidR="005661C0" w:rsidRPr="000E0324" w:rsidRDefault="00855820" w:rsidP="00903CB0">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производство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должно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обеспечивать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уверенности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 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процесс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будут воспроизведены в промышленном масштабе.</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Объем серии, предназначенной для подтверждения биоэквивалентности, менее 100 000 единиц возможен при условии, что это предлагаемый объем серийного производства, и последующее масштабирование производственных серий не предполагается;</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спецификации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такие критические показатели качества лекарственного препарата, как растворение, следует осуществлять, используя исследованную серию, 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 которой подтверждена биоэквивалентность;</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образцы лекарственного препарата из дополнительных опытно- промышленных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промышленных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 предоставленные на регистрацию, необходимо сравнить с образцами из серии, использованной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должны иметь сопоставимые профили растворения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vitro</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в подходящих условиях ТСКР (согласно приложению № 5).</w:t>
      </w:r>
    </w:p>
    <w:p w:rsidR="005661C0" w:rsidRPr="000E0324" w:rsidRDefault="00855820" w:rsidP="00785F17">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23. В отношении каждой из первых трех промышленных серий до выпуска их на рынок Союза необходимо провести ТСКР с серией, использованной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 истечения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срока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годности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быть использована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предыдущая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промышленная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сопоставим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 использованной в исследовании биоэквивалентности.</w:t>
      </w:r>
    </w:p>
    <w:p w:rsidR="005661C0" w:rsidRPr="000E0324" w:rsidRDefault="00855820" w:rsidP="00903CB0">
      <w:pPr>
        <w:spacing w:before="4"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Заявитель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ТСКР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трех промышленных серий по запросу упол</w:t>
      </w:r>
      <w:r w:rsidR="00785F17" w:rsidRPr="000E0324">
        <w:rPr>
          <w:rFonts w:ascii="Times New Roman" w:eastAsia="Times New Roman" w:hAnsi="Times New Roman" w:cs="Times New Roman"/>
          <w:sz w:val="24"/>
          <w:szCs w:val="24"/>
          <w:lang w:val="ru-RU"/>
        </w:rPr>
        <w:t>номоченного органа государства-</w:t>
      </w:r>
      <w:r w:rsidRPr="000E0324">
        <w:rPr>
          <w:rFonts w:ascii="Times New Roman" w:eastAsia="Times New Roman" w:hAnsi="Times New Roman" w:cs="Times New Roman"/>
          <w:sz w:val="24"/>
          <w:szCs w:val="24"/>
          <w:lang w:val="ru-RU"/>
        </w:rPr>
        <w:t>члена.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несовпадении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заявитель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 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ТСКР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собственной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инициативе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запроса уполномоченного органа и указать конкретные меры, предпринятые для преодоления возникшей ситуации.</w:t>
      </w:r>
    </w:p>
    <w:p w:rsidR="005661C0" w:rsidRPr="000E0324" w:rsidRDefault="00855820" w:rsidP="00903CB0">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Для прочих лекарственных форм с немедленным высвобождением системного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аналогичное подтверждение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промышленных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отношению к исследованной серии.</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458"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Упаковка сравниваемых лекарственных препаратов</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24. Исследуемый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референтный 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упаковать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индивидуально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каждого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отправкой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исследовательский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центр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самом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исследовательском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центре. Упаковку (включая маркировку) следует осуществлять в соответствии с правилами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надлежащей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практики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 утверждаемыми Комиссией.</w:t>
      </w:r>
    </w:p>
    <w:p w:rsidR="005661C0" w:rsidRPr="000E0324" w:rsidRDefault="00855820" w:rsidP="00785F17">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25. Необходимо предусмотреть возможность точного установления подлинности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применяемых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каждым субъектом в каждом периоде исследования. В связи с этим необходимо подробно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упаковку,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маркировку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введение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 содержать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принятых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недопущения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обнаружения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ошибок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 этикетки с отрывным корешком.</w:t>
      </w:r>
    </w:p>
    <w:p w:rsidR="005661C0" w:rsidRPr="000E0324" w:rsidRDefault="005661C0" w:rsidP="00903CB0">
      <w:pPr>
        <w:spacing w:before="4"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051" w:right="304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Субъекты исследования</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302" w:right="3290"/>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Количество субъектов</w:t>
      </w:r>
    </w:p>
    <w:p w:rsidR="005661C0" w:rsidRPr="000E0324" w:rsidRDefault="005661C0" w:rsidP="00903CB0">
      <w:pPr>
        <w:spacing w:before="13" w:after="0" w:line="28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26. Количество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 биоэквивалентности, должно основываться на должном расчете размера выборки. Количество включенных в анализ субъектов исследования биоэквивалентности должно быть не менее 12.</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623" w:right="3614"/>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Выбор субъектов</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27. Группа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подобрана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 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обнаружить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значимые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 лекарственными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обусловленные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 производстве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снижения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вариабельности 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обусловленной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лекарственными препаратами,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здоровых </w:t>
      </w:r>
      <w:r w:rsidRPr="000E0324">
        <w:rPr>
          <w:rFonts w:ascii="Times New Roman" w:eastAsia="Times New Roman" w:hAnsi="Times New Roman" w:cs="Times New Roman"/>
          <w:sz w:val="24"/>
          <w:szCs w:val="24"/>
          <w:lang w:val="ru-RU"/>
        </w:rPr>
        <w:lastRenderedPageBreak/>
        <w:t>добровольцев, за исключением случаев, когда лекарственные препараты несут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очевидную угрозу их здоровью, и делают такие исследования неэтичными. В большинстве случаев проведение исследования среди здоровых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добровольцев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 сравниваемыми лекарственными препаратами считается приемлемым и позволяет экстраполировать результаты исследования на лиц, для которых одобрено применение референтного лекарственного препарата (лица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пожилого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возраста,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пациенты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почечной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печеночной недостаточностью и т.д.).</w:t>
      </w:r>
    </w:p>
    <w:p w:rsidR="005661C0" w:rsidRPr="000E0324" w:rsidRDefault="00855820" w:rsidP="00903CB0">
      <w:pPr>
        <w:spacing w:before="21" w:after="0" w:line="346" w:lineRule="auto"/>
        <w:ind w:left="102" w:right="3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28.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четко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прописать критерии включения и невключения. Возраст субъектов должен быть не менее 18 лет с индексом массы тела, по возможности, 18,5 – 30 кг/м</w:t>
      </w:r>
      <w:r w:rsidRPr="000E0324">
        <w:rPr>
          <w:rFonts w:ascii="Times New Roman" w:eastAsia="Times New Roman" w:hAnsi="Times New Roman" w:cs="Times New Roman"/>
          <w:position w:val="14"/>
          <w:sz w:val="24"/>
          <w:szCs w:val="24"/>
          <w:lang w:val="ru-RU"/>
        </w:rPr>
        <w:t>2</w:t>
      </w:r>
      <w:r w:rsidRPr="000E0324">
        <w:rPr>
          <w:rFonts w:ascii="Times New Roman" w:eastAsia="Times New Roman" w:hAnsi="Times New Roman" w:cs="Times New Roman"/>
          <w:sz w:val="24"/>
          <w:szCs w:val="24"/>
          <w:lang w:val="ru-RU"/>
        </w:rPr>
        <w:t>.</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29. Соответствие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подтвердить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лабораторными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анамнезом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медицинским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осмотром.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зависимости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фармакотерапевтической группы и профиля безопасности лекарственного препарата до, во время 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окончании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специальные исследования и принять соответствующие меры предосторожности. Пол 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имеет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учитывать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риск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женщин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детородного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возраста.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 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некурящими; алкоголизм и наркомания (в том числе в анамнезе) являются критериями для их невключения в исследование. В некоторых случаях из соображений безопасности или в силу фармакокинетических особенностей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предусмотреть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фенотипирование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(или) генотипирование субъектов.</w:t>
      </w:r>
    </w:p>
    <w:p w:rsidR="005661C0" w:rsidRPr="000E0324" w:rsidRDefault="00855820" w:rsidP="00903CB0">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30.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параллельном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дизайне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сравниваемые группы должны быть сопоставимы по всем значимым переменным, 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повлиять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(включая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возраст,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массу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этническую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принадлежность, курение,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принадлежность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«быстрым»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«медленным» метаболизаторам).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важное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предварительное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подтверждения достоверности результатов таких исследований.</w:t>
      </w:r>
    </w:p>
    <w:p w:rsidR="005661C0" w:rsidRPr="000E0324" w:rsidRDefault="00855820" w:rsidP="00785F17">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31.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вызывает нежелательные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фармакологические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эффекты, представляющие неприемлемые риски для здоровых добровольцев, при условии принятия необходимых мер предосторожности и установления</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соответствующего наблюдения, допускается включение в исследование пациентов.</w:t>
      </w:r>
    </w:p>
    <w:p w:rsidR="005661C0" w:rsidRPr="000E0324" w:rsidRDefault="005661C0" w:rsidP="00903CB0">
      <w:pPr>
        <w:spacing w:before="4"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915" w:right="290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Проведение исследования</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686" w:right="677"/>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Обеспечение стандартности условий проведения исследования</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32.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минимуму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 вовлеченных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факторов,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факторов,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обусловленных свойствами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сравниваемых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 проведения исследования необходимо стандартизировать, в связи с чем стандартизации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подлежат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рацион,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жидкости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физические нагрузки.</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33. Время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необходимо установить заранее. В </w:t>
      </w:r>
      <w:r w:rsidRPr="000E0324">
        <w:rPr>
          <w:rFonts w:ascii="Times New Roman" w:eastAsia="Times New Roman" w:hAnsi="Times New Roman" w:cs="Times New Roman"/>
          <w:sz w:val="24"/>
          <w:szCs w:val="24"/>
          <w:lang w:val="ru-RU"/>
        </w:rPr>
        <w:lastRenderedPageBreak/>
        <w:t>отсутствие обоснований субъекты не должны принимать пищу как минимум за 8 час до приема лекарственного препарата. Поскольку прием жидкости может повлиять на прохождение принимаемых внутрь лекарственных препаратов через желудок, исследуемый лекарственный препарат и референтный лекарственный 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запивать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объемом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жидкости (150–250 мл). В течение 1 часа до и 2 часов после этого прием жидкости запрещен, в остальном устанавливается свободный питьевой режим. 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пищи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ограничивают 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Рацион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пищи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стандартизировать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достаточного периода времени (например, 12 часов).</w:t>
      </w:r>
    </w:p>
    <w:p w:rsidR="005661C0" w:rsidRPr="000E0324" w:rsidRDefault="00855820" w:rsidP="00785F17">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пищи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осуществляют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общей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характеристикой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используемого референтного лекарственного препарата.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такие сведения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общей</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характеристике лекарственного препарата референтного 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начать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пищи 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(продолжительность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пищи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30 минут).</w:t>
      </w: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34. Поскольку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молекулы действующего вещества лекарственной формы может зависеть от длительности прохождения через желудочно-кишечный тракт и интенсивности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регионарного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кровотока,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стандартизация положения тела и физической активности субъекта.</w:t>
      </w:r>
    </w:p>
    <w:p w:rsidR="005661C0" w:rsidRPr="000E0324" w:rsidRDefault="00855820" w:rsidP="00785F17">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35. В течение определенного периода до и во время исследования субъекты должны воздерживаться от приема пищи и напитков, которые могут повлиять на функцию сердечно-сосудистой, пищеварительной системы,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печени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почек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алкогольные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напитки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некоторые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грейпфрутовый).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 принимать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какие-либо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сопутствующие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препараты (включая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растительного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происхождения)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контрацептивов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 сопутствующих лекарственных препаратов неизбежен и они назначены субъекту для купирования нежелательных явлений (например, головной боли),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сопроводительных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отразить сведения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возможном влиянии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исключительных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 соображений безопасности или переносимости всем субъектам назначают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сопутствующие лекарственные препараты (например, антагонисты опиоидных рецепторов, противорвотные средства). В этом 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учитывать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взаимодействия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которые могут сказаться на результатах исследования.</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36. Лекарственные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общей характеристике лекарственного препарата референтного лекарственного препарата должны применяться только в комбинации с другим лекарственным препаратом (например, некоторые ингибиторы </w:t>
      </w:r>
      <w:r w:rsidRPr="000E0324">
        <w:rPr>
          <w:rFonts w:ascii="Times New Roman" w:eastAsia="Times New Roman" w:hAnsi="Times New Roman" w:cs="Times New Roman"/>
          <w:sz w:val="24"/>
          <w:szCs w:val="24"/>
          <w:lang w:val="ru-RU"/>
        </w:rPr>
        <w:lastRenderedPageBreak/>
        <w:t>протеазы ВИЧ применяют только в комбинации с ритонавиром), разрешается принимать как отдельно, так и в комбинации с рекомендуемым лекарственным препаратом.</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37.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эндогенных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соединений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факторы,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фоновое содержание (например, строгий контроль принимаемой пищи).</w:t>
      </w:r>
    </w:p>
    <w:p w:rsidR="005661C0" w:rsidRPr="000E0324" w:rsidRDefault="005661C0" w:rsidP="00903CB0">
      <w:pPr>
        <w:spacing w:before="4"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242" w:right="323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Время отбора образцов</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785F17">
      <w:pPr>
        <w:spacing w:after="0" w:line="357" w:lineRule="auto"/>
        <w:ind w:left="102" w:right="3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38.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 необходимо отобрать достаточное количество образцов. В целях получения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максимальной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экспозиции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предусмотреть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вблизи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предполагаемого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72"/>
          <w:sz w:val="24"/>
          <w:szCs w:val="24"/>
          <w:lang w:val="ru-RU"/>
        </w:rPr>
        <w:t xml:space="preserve"> </w:t>
      </w:r>
      <w:r w:rsidRPr="000E0324">
        <w:rPr>
          <w:rFonts w:ascii="Times New Roman" w:eastAsia="Times New Roman" w:hAnsi="Times New Roman" w:cs="Times New Roman"/>
          <w:sz w:val="24"/>
          <w:szCs w:val="24"/>
          <w:lang w:val="ru-RU"/>
        </w:rPr>
        <w:t>В частности,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схема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составлена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чтобы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являлась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 Количество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отобранных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достаточным, 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обеспечить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надежную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длительности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экспозиции.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 достигается,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когда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t</w:t>
      </w:r>
      <w:r w:rsidRPr="000E0324">
        <w:rPr>
          <w:rFonts w:ascii="Times New Roman" w:eastAsia="Times New Roman" w:hAnsi="Times New Roman" w:cs="Times New Roman"/>
          <w:position w:val="-4"/>
          <w:sz w:val="24"/>
          <w:szCs w:val="24"/>
          <w:lang w:val="ru-RU"/>
        </w:rPr>
        <w:t>)</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перекрывает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80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от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надежной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константы скорости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терминальной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элиминации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достоверной 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70"/>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терминальной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отобрать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менее 3–4 образцов. Если фаза абсорбции лекарственного препарата для приема внутрь с немедленным высвобождением не превышает 72 часов,</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то для сравнения длительности экспозиции в качестве альтернативы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t</w:t>
      </w:r>
      <w:r w:rsidRPr="000E0324">
        <w:rPr>
          <w:rFonts w:ascii="Times New Roman" w:eastAsia="Times New Roman" w:hAnsi="Times New Roman" w:cs="Times New Roman"/>
          <w:position w:val="-4"/>
          <w:sz w:val="24"/>
          <w:szCs w:val="24"/>
          <w:lang w:val="ru-RU"/>
        </w:rPr>
        <w:t>)</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 xml:space="preserve">может использоваться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sz w:val="24"/>
          <w:szCs w:val="24"/>
          <w:lang w:val="ru-RU"/>
        </w:rPr>
        <w:t>, усеченная до 72 часов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(0–72</w:t>
      </w:r>
      <w:r w:rsidRPr="000E0324">
        <w:rPr>
          <w:rFonts w:ascii="Times New Roman" w:eastAsia="Times New Roman" w:hAnsi="Times New Roman" w:cs="Times New Roman"/>
          <w:spacing w:val="-4"/>
          <w:position w:val="-4"/>
          <w:sz w:val="24"/>
          <w:szCs w:val="24"/>
          <w:lang w:val="ru-RU"/>
        </w:rPr>
        <w:t xml:space="preserve"> </w:t>
      </w:r>
      <w:r w:rsidRPr="000E0324">
        <w:rPr>
          <w:rFonts w:ascii="Times New Roman" w:eastAsia="Times New Roman" w:hAnsi="Times New Roman" w:cs="Times New Roman"/>
          <w:position w:val="-4"/>
          <w:sz w:val="24"/>
          <w:szCs w:val="24"/>
          <w:lang w:val="ru-RU"/>
        </w:rPr>
        <w:t>ч)</w:t>
      </w:r>
      <w:r w:rsidRPr="000E0324">
        <w:rPr>
          <w:rFonts w:ascii="Times New Roman" w:eastAsia="Times New Roman" w:hAnsi="Times New Roman" w:cs="Times New Roman"/>
          <w:sz w:val="24"/>
          <w:szCs w:val="24"/>
          <w:lang w:val="ru-RU"/>
        </w:rPr>
        <w:t>). Поэтому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любых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немедленным высвобождением независимо от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lang w:val="ru-RU"/>
        </w:rPr>
        <w:t>½</w:t>
      </w:r>
      <w:r w:rsidRPr="000E0324">
        <w:rPr>
          <w:rFonts w:ascii="Times New Roman" w:eastAsia="Times New Roman" w:hAnsi="Times New Roman" w:cs="Times New Roman"/>
          <w:spacing w:val="46"/>
          <w:position w:val="-4"/>
          <w:sz w:val="24"/>
          <w:szCs w:val="24"/>
          <w:lang w:val="ru-RU"/>
        </w:rPr>
        <w:t xml:space="preserve"> </w:t>
      </w:r>
      <w:r w:rsidRPr="000E0324">
        <w:rPr>
          <w:rFonts w:ascii="Times New Roman" w:eastAsia="Times New Roman" w:hAnsi="Times New Roman" w:cs="Times New Roman"/>
          <w:sz w:val="24"/>
          <w:szCs w:val="24"/>
          <w:lang w:val="ru-RU"/>
        </w:rPr>
        <w:t>активного вещества отбор образцов в течение более 72 часов не требуется.</w:t>
      </w:r>
    </w:p>
    <w:p w:rsidR="005661C0" w:rsidRPr="000E0324" w:rsidRDefault="00855820" w:rsidP="00785F17">
      <w:pPr>
        <w:spacing w:before="18" w:after="0" w:line="362"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39.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многократным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τ</w:t>
      </w:r>
      <w:r w:rsidRPr="000E0324">
        <w:rPr>
          <w:rFonts w:ascii="Times New Roman" w:eastAsia="Times New Roman" w:hAnsi="Times New Roman" w:cs="Times New Roman"/>
          <w:position w:val="-4"/>
          <w:sz w:val="24"/>
          <w:szCs w:val="24"/>
          <w:lang w:val="ru-RU"/>
        </w:rPr>
        <w:t>)</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«преддозовый»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образец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забрать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непосредственно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перед приемом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последний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образец</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10 минут в конце заданного интервала дозирования.</w:t>
      </w:r>
    </w:p>
    <w:p w:rsidR="005661C0" w:rsidRPr="000E0324" w:rsidRDefault="00855820" w:rsidP="00785F17">
      <w:pPr>
        <w:spacing w:after="0" w:line="354" w:lineRule="auto"/>
        <w:ind w:left="102" w:right="3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40.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материала,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котором определяется содержание действующего вещества, выбрана моча, то ее необходимо собирать в течение не менее 3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lang w:val="ru-RU"/>
        </w:rPr>
        <w:t>½</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1"/>
          <w:sz w:val="24"/>
          <w:szCs w:val="24"/>
          <w:lang w:val="ru-RU"/>
        </w:rPr>
        <w:t xml:space="preserve"> </w:t>
      </w:r>
      <w:r w:rsidRPr="000E0324">
        <w:rPr>
          <w:rFonts w:ascii="Times New Roman" w:eastAsia="Times New Roman" w:hAnsi="Times New Roman" w:cs="Times New Roman"/>
          <w:sz w:val="24"/>
          <w:szCs w:val="24"/>
          <w:lang w:val="ru-RU"/>
        </w:rPr>
        <w:t>Однако в соответствии с рекомендациями по отбору образцов плазмы, сбор мочи в течение более</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72 часов также не требуется. Для определения скорости экскреции интервалы между отбором образцов в фазе абсорбции должны быть, по возможности, как можно короче (с учетом требований подразделов 5 и 6 настоящего раздела).</w:t>
      </w:r>
    </w:p>
    <w:p w:rsidR="005661C0" w:rsidRPr="000E0324" w:rsidRDefault="00855820" w:rsidP="00903CB0">
      <w:pPr>
        <w:spacing w:before="8"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41.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эндогенных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схема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 позволить описать их фоновое содержание для каждого субъекта в каждом периоде. 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 такое определение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путем отбора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2–3</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Иногда, 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циркадные колебания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фонового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содержания эндогенного соединения,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регулярно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учетом требований подразделов 5 и 6 настоящего раздела).</w:t>
      </w:r>
    </w:p>
    <w:p w:rsidR="005661C0" w:rsidRPr="000E0324" w:rsidRDefault="00855820" w:rsidP="00785F17">
      <w:pPr>
        <w:spacing w:before="9" w:after="0" w:line="335"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42.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обычных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обстоятельствах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жидкостью, отбираемой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 быть кровь. В большинстве случаев измеряется содержание 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сыворотке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плазме.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плазме,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экскретируется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неизменном виде с мочой и существует пропорциональная взаимосвязь 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крови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моче,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качестве биологического материала может использоваться моча. Объем каждого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незамедлительно после сбора и вносить результаты в отчет. Количество образцов должно 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 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большинстве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избегать использования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только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выделении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мочой,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позволяет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максимальную концентрацию вещества в системном кровотоке.</w:t>
      </w:r>
    </w:p>
    <w:p w:rsidR="005661C0" w:rsidRPr="000E0324" w:rsidRDefault="00855820" w:rsidP="00903CB0">
      <w:pPr>
        <w:spacing w:before="6" w:after="0" w:line="336"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43. Образцы биологической жидкости необходимо обрабатывать и хранить в условиях, при которых ранее не обнаруживалось разложение анализируемых веществ (в большинстве случаев приемлемым является хранение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выше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-20°С).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 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требованиями подраздела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Методология сбора образцов оговаривается в протоколе исследования.</w:t>
      </w:r>
    </w:p>
    <w:p w:rsidR="005661C0" w:rsidRPr="000E0324" w:rsidRDefault="005661C0" w:rsidP="00903CB0">
      <w:pPr>
        <w:spacing w:before="2"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102"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Прием лекарственного препарата натощак или после еды</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785F17">
      <w:pPr>
        <w:spacing w:after="0" w:line="336"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44.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проводят натощак, поскольку считается, что это соответствует наибольшей чувствительности для выявления различий между сравниваемыми лекарственными препаратами. Если в общей характеристике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 рекомендуется применять натощак или независимо от приема пищи, то 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проводят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натощак.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согласно</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общей характеристике лекарственного препарата референтного лекарственного препарата его следует применять исключительно после еды, то исследование биоэквивалентности проводят после приема пищи.</w:t>
      </w:r>
    </w:p>
    <w:p w:rsidR="005661C0" w:rsidRPr="000E0324" w:rsidRDefault="00855820" w:rsidP="00903CB0">
      <w:pPr>
        <w:spacing w:before="7" w:after="0" w:line="336"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Однако для некоторых лекарственных форм (например, микроэмульсии, твердые дисперсии) исследование биоэквивалентности проводят как натощак, так и после приема пищи. Указанное правило не применяется,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принимать либо строго натощак, либо строго после еды.</w:t>
      </w:r>
    </w:p>
    <w:p w:rsidR="005661C0" w:rsidRPr="000E0324" w:rsidRDefault="00855820" w:rsidP="00903CB0">
      <w:pPr>
        <w:spacing w:before="4" w:after="0" w:line="336"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45.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 допустимо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перекрестных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 группах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перекрестное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группах субъектов.</w:t>
      </w:r>
    </w:p>
    <w:p w:rsidR="005661C0" w:rsidRPr="000E0324" w:rsidRDefault="00855820" w:rsidP="00785F17">
      <w:pPr>
        <w:spacing w:before="4" w:after="0" w:line="335"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46.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когда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осуществляется после приема пищи, ее состав 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соответствовать рекомендациям общей характеристики лекарственного препарата референтного лекарственного препарата. Если в ней отсутствуют какие- либо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поводу,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пища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 высококалорийной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(800-1000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ккал),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жиров (около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калорийности).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белки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 приходиться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150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ккал,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углеводы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250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ккал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500–600 ккал. Необходимо описать состав пищи относительно содержания в ней белков, жиров и углеводов в граммах, абсолютном и относительном содержании калорий.</w:t>
      </w:r>
    </w:p>
    <w:p w:rsidR="005661C0" w:rsidRPr="000E0324" w:rsidRDefault="005661C0" w:rsidP="00903CB0">
      <w:pPr>
        <w:spacing w:before="3"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989" w:right="2980"/>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 Исследуемые параметры</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2692" w:right="2684"/>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Фармакокинетические свойства</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785F17">
      <w:pPr>
        <w:spacing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47.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фактическое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однократного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t</w:t>
      </w:r>
      <w:r w:rsidRPr="000E0324">
        <w:rPr>
          <w:rFonts w:ascii="Times New Roman" w:eastAsia="Times New Roman" w:hAnsi="Times New Roman" w:cs="Times New Roman"/>
          <w:position w:val="-4"/>
          <w:sz w:val="24"/>
          <w:szCs w:val="24"/>
          <w:lang w:val="ru-RU"/>
        </w:rPr>
        <w:t>)</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71"/>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70"/>
          <w:sz w:val="24"/>
          <w:szCs w:val="24"/>
          <w:lang w:val="ru-RU"/>
        </w:rPr>
        <w:t xml:space="preserve"> </w:t>
      </w:r>
      <w:r w:rsidRPr="000E0324">
        <w:rPr>
          <w:rFonts w:ascii="Times New Roman" w:eastAsia="Times New Roman" w:hAnsi="Times New Roman" w:cs="Times New Roman"/>
          <w:sz w:val="24"/>
          <w:szCs w:val="24"/>
          <w:lang w:val="ru-RU"/>
        </w:rPr>
        <w:t>остаточную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площадь,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Pr="000E0324">
        <w:rPr>
          <w:rFonts w:ascii="Times New Roman" w:eastAsia="Times New Roman" w:hAnsi="Times New Roman" w:cs="Times New Roman"/>
          <w:w w:val="99"/>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и</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72"/>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продолжается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72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точке</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72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еще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поддается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описывать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остаточную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площадь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 документировать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усеченной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72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часа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(0–72</w:t>
      </w:r>
      <w:r w:rsidRPr="000E0324">
        <w:rPr>
          <w:rFonts w:ascii="Times New Roman" w:eastAsia="Times New Roman" w:hAnsi="Times New Roman" w:cs="Times New Roman"/>
          <w:spacing w:val="-4"/>
          <w:position w:val="-4"/>
          <w:sz w:val="24"/>
          <w:szCs w:val="24"/>
          <w:lang w:val="ru-RU"/>
        </w:rPr>
        <w:t xml:space="preserve"> </w:t>
      </w:r>
      <w:r w:rsidRPr="000E0324">
        <w:rPr>
          <w:rFonts w:ascii="Times New Roman" w:eastAsia="Times New Roman" w:hAnsi="Times New Roman" w:cs="Times New Roman"/>
          <w:position w:val="-4"/>
          <w:sz w:val="24"/>
          <w:szCs w:val="24"/>
          <w:lang w:val="ru-RU"/>
        </w:rPr>
        <w:t>ч)</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73"/>
          <w:sz w:val="24"/>
          <w:szCs w:val="24"/>
          <w:lang w:val="ru-RU"/>
        </w:rPr>
        <w:t xml:space="preserve"> </w:t>
      </w:r>
      <w:r w:rsidRPr="000E0324">
        <w:rPr>
          <w:rFonts w:ascii="Times New Roman" w:eastAsia="Times New Roman" w:hAnsi="Times New Roman" w:cs="Times New Roman"/>
          <w:sz w:val="24"/>
          <w:szCs w:val="24"/>
          <w:lang w:val="ru-RU"/>
        </w:rPr>
        <w:t>Дополнительно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константа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скорости терминальной элиминации (</w:t>
      </w:r>
      <w:r w:rsidRPr="000E0324">
        <w:rPr>
          <w:rFonts w:ascii="Times New Roman" w:eastAsia="Times New Roman" w:hAnsi="Times New Roman" w:cs="Times New Roman"/>
          <w:sz w:val="24"/>
          <w:szCs w:val="24"/>
        </w:rPr>
        <w:t>k</w:t>
      </w:r>
      <w:r w:rsidRPr="000E0324">
        <w:rPr>
          <w:rFonts w:ascii="Times New Roman" w:eastAsia="Times New Roman" w:hAnsi="Times New Roman" w:cs="Times New Roman"/>
          <w:position w:val="-4"/>
          <w:sz w:val="24"/>
          <w:szCs w:val="24"/>
        </w:rPr>
        <w:t>el</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1"/>
          <w:sz w:val="24"/>
          <w:szCs w:val="24"/>
          <w:lang w:val="ru-RU"/>
        </w:rPr>
        <w:t xml:space="preserve"> </w:t>
      </w:r>
      <w:r w:rsidRPr="000E0324">
        <w:rPr>
          <w:rFonts w:ascii="Times New Roman" w:eastAsia="Times New Roman" w:hAnsi="Times New Roman" w:cs="Times New Roman"/>
          <w:sz w:val="24"/>
          <w:szCs w:val="24"/>
          <w:lang w:val="ru-RU"/>
        </w:rPr>
        <w:t xml:space="preserve">и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lang w:val="ru-RU"/>
        </w:rPr>
        <w:t>½</w:t>
      </w:r>
      <w:r w:rsidRPr="000E0324">
        <w:rPr>
          <w:rFonts w:ascii="Times New Roman" w:eastAsia="Times New Roman" w:hAnsi="Times New Roman" w:cs="Times New Roman"/>
          <w:sz w:val="24"/>
          <w:szCs w:val="24"/>
          <w:lang w:val="ru-RU"/>
        </w:rPr>
        <w:t>.</w:t>
      </w:r>
    </w:p>
    <w:p w:rsidR="005661C0" w:rsidRPr="000E0324" w:rsidRDefault="00855820" w:rsidP="00785F17">
      <w:pPr>
        <w:spacing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Для лекарственных препаратов с немедленным высвобождением в</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равновесном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состоянии необходимо определять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τ</w:t>
      </w:r>
      <w:r w:rsidRPr="000E0324">
        <w:rPr>
          <w:rFonts w:ascii="Times New Roman" w:eastAsia="Times New Roman" w:hAnsi="Times New Roman" w:cs="Times New Roman"/>
          <w:position w:val="-4"/>
          <w:sz w:val="24"/>
          <w:szCs w:val="24"/>
          <w:lang w:val="ru-RU"/>
        </w:rPr>
        <w:t>)</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4"/>
          <w:sz w:val="24"/>
          <w:szCs w:val="24"/>
          <w:lang w:val="ru-RU"/>
        </w:rPr>
        <w:t xml:space="preserve"> </w:t>
      </w:r>
      <w:r w:rsidRPr="000E0324">
        <w:rPr>
          <w:rFonts w:ascii="Times New Roman" w:eastAsia="Times New Roman" w:hAnsi="Times New Roman" w:cs="Times New Roman"/>
          <w:sz w:val="24"/>
          <w:szCs w:val="24"/>
          <w:lang w:val="ru-RU"/>
        </w:rPr>
        <w:t>С</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position w:val="-4"/>
          <w:sz w:val="24"/>
          <w:szCs w:val="24"/>
          <w:lang w:val="ru-RU"/>
        </w:rPr>
        <w:t>,</w:t>
      </w:r>
      <w:r w:rsidRPr="000E0324">
        <w:rPr>
          <w:rFonts w:ascii="Times New Roman" w:eastAsia="Times New Roman" w:hAnsi="Times New Roman" w:cs="Times New Roman"/>
          <w:position w:val="-4"/>
          <w:sz w:val="24"/>
          <w:szCs w:val="24"/>
        </w:rPr>
        <w:t>ss</w:t>
      </w:r>
      <w:r w:rsidRPr="000E0324">
        <w:rPr>
          <w:rFonts w:ascii="Times New Roman" w:eastAsia="Times New Roman" w:hAnsi="Times New Roman" w:cs="Times New Roman"/>
          <w:spacing w:val="42"/>
          <w:position w:val="-4"/>
          <w:sz w:val="24"/>
          <w:szCs w:val="24"/>
          <w:lang w:val="ru-RU"/>
        </w:rPr>
        <w:t xml:space="preserve"> </w:t>
      </w:r>
      <w:r w:rsidRPr="000E0324">
        <w:rPr>
          <w:rFonts w:ascii="Times New Roman" w:eastAsia="Times New Roman" w:hAnsi="Times New Roman" w:cs="Times New Roman"/>
          <w:sz w:val="24"/>
          <w:szCs w:val="24"/>
          <w:lang w:val="ru-RU"/>
        </w:rPr>
        <w:t xml:space="preserve">и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position w:val="-4"/>
          <w:sz w:val="24"/>
          <w:szCs w:val="24"/>
          <w:lang w:val="ru-RU"/>
        </w:rPr>
        <w:t>,</w:t>
      </w:r>
      <w:r w:rsidRPr="000E0324">
        <w:rPr>
          <w:rFonts w:ascii="Times New Roman" w:eastAsia="Times New Roman" w:hAnsi="Times New Roman" w:cs="Times New Roman"/>
          <w:position w:val="-4"/>
          <w:sz w:val="24"/>
          <w:szCs w:val="24"/>
        </w:rPr>
        <w:t>ss</w:t>
      </w:r>
      <w:r w:rsidRPr="000E0324">
        <w:rPr>
          <w:rFonts w:ascii="Times New Roman" w:eastAsia="Times New Roman" w:hAnsi="Times New Roman" w:cs="Times New Roman"/>
          <w:sz w:val="24"/>
          <w:szCs w:val="24"/>
          <w:lang w:val="ru-RU"/>
        </w:rPr>
        <w:t>.</w:t>
      </w:r>
    </w:p>
    <w:p w:rsidR="005661C0" w:rsidRPr="000E0324" w:rsidRDefault="00855820" w:rsidP="00785F17">
      <w:pPr>
        <w:spacing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48. При использовании в качестве биологического материала мочи</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необходимо определять </w:t>
      </w:r>
      <w:r w:rsidRPr="000E0324">
        <w:rPr>
          <w:rFonts w:ascii="Times New Roman" w:eastAsia="Times New Roman" w:hAnsi="Times New Roman" w:cs="Times New Roman"/>
          <w:sz w:val="24"/>
          <w:szCs w:val="24"/>
        </w:rPr>
        <w:t>Ae</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t</w:t>
      </w:r>
      <w:r w:rsidRPr="000E0324">
        <w:rPr>
          <w:rFonts w:ascii="Times New Roman" w:eastAsia="Times New Roman" w:hAnsi="Times New Roman" w:cs="Times New Roman"/>
          <w:position w:val="-4"/>
          <w:sz w:val="24"/>
          <w:szCs w:val="24"/>
          <w:lang w:val="ru-RU"/>
        </w:rPr>
        <w:t>)</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 xml:space="preserve">и, по возможности, </w:t>
      </w:r>
      <w:r w:rsidRPr="000E0324">
        <w:rPr>
          <w:rFonts w:ascii="Times New Roman" w:eastAsia="Times New Roman" w:hAnsi="Times New Roman" w:cs="Times New Roman"/>
          <w:sz w:val="24"/>
          <w:szCs w:val="24"/>
        </w:rPr>
        <w:t>R</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49.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исследованиях биоэквивалентности используют внемодельные методы. Использование камерных моделей неприемлемо.</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863" w:right="185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 Исходное соединение или его метаболиты</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3592" w:right="3584"/>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Общие принципы</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56"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50.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большинстве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путем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исходного соединения,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поскольку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обнаружения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 лекарственными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абсорбции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исходного соединения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обычно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чувствительным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показателем,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чем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его метаболита.</w:t>
      </w:r>
    </w:p>
    <w:p w:rsidR="005661C0" w:rsidRPr="000E0324" w:rsidRDefault="005661C0" w:rsidP="00903CB0">
      <w:pPr>
        <w:spacing w:before="5" w:after="0" w:line="220" w:lineRule="exact"/>
        <w:rPr>
          <w:rFonts w:ascii="Times New Roman" w:hAnsi="Times New Roman" w:cs="Times New Roman"/>
          <w:sz w:val="24"/>
          <w:szCs w:val="24"/>
          <w:lang w:val="ru-RU"/>
        </w:rPr>
      </w:pPr>
    </w:p>
    <w:p w:rsidR="005661C0" w:rsidRPr="000E0324" w:rsidRDefault="00855820" w:rsidP="00903CB0">
      <w:pPr>
        <w:spacing w:after="0" w:line="240" w:lineRule="auto"/>
        <w:ind w:left="3064" w:right="305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Неактивные пролекарства</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785F17">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51.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неактивных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пролекарств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исходного</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требуется. Однако концентрация в биологических жидкостях некоторых пролекарств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низкая,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быстро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элиминируются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 кровотока,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затрудняет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исходному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подтверждать биоэквивалентность для основного активного метаболита без измерения 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исходного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 исходным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являющимся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неактивным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пролекарством, понимаются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очень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низкой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эффективностью или полным ее отсутствием.</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2530" w:right="1352" w:hanging="1118"/>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Использование данных о метаболите вместо данных об активном исходном соединении</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785F17">
      <w:pPr>
        <w:spacing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52. Использование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сведений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вместо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 активном исходном соединении не рекомендуется. Такая замена допустима лишь в том случае, если заявитель сможет доказать, что чувствительность аналитического метода в отношении исходного соединения не может быть улучшена и что после однократного приема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исходного соединения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невозможно,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учитывая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превышающие максимальные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разовые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7 настоящего раздела). Замена данных об исходном соединении данными 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лишь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исключительных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осуществлении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замены,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заявитель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обязан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 имеющиеся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подтверждающие,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экспозиция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метаболита (выраженная в виде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sz w:val="24"/>
          <w:szCs w:val="24"/>
          <w:lang w:val="ru-RU"/>
        </w:rPr>
        <w:t>) отражает экспозицию исходного соединения</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терапевтических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 насыщаемым процессом.</w:t>
      </w:r>
    </w:p>
    <w:p w:rsidR="005661C0" w:rsidRPr="000E0324" w:rsidRDefault="005661C0" w:rsidP="00903CB0">
      <w:pPr>
        <w:spacing w:before="4"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851" w:right="383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Энантиомеры</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53. 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нестереоспецифичные биоаналитические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выполнении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 нижеперечисленных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концентрацию каждого энантиомера:</w:t>
      </w:r>
    </w:p>
    <w:p w:rsidR="005661C0" w:rsidRPr="000E0324" w:rsidRDefault="00855820" w:rsidP="00903CB0">
      <w:pPr>
        <w:spacing w:before="5" w:after="0" w:line="360"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энантиомеры обладают различными фармакокинетическими свойствами;</w:t>
      </w:r>
    </w:p>
    <w:p w:rsidR="005661C0" w:rsidRPr="000E0324" w:rsidRDefault="00855820" w:rsidP="00903CB0">
      <w:pPr>
        <w:spacing w:before="4" w:after="0" w:line="360"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фармакодинамические свойства энантиомеров существенно различаются;</w:t>
      </w:r>
    </w:p>
    <w:p w:rsidR="005661C0" w:rsidRPr="000E0324" w:rsidRDefault="00855820" w:rsidP="00785F17">
      <w:pPr>
        <w:spacing w:before="4" w:after="0" w:line="360"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отношение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экспозиции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энантиомеров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(выраженной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AUC)</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меняется при изменении абсорбции.</w:t>
      </w: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54. Если все указанные условия выполняются или сведения о них отсутствуют,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каждого энантиомера.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только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один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энантиомеров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обладает фармакологической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(фармакологическая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активность второго энантиомера низкая или полностью отсутствует), то достаточно подтвердить биоэквивалентность только для активного энантиомера.</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954" w:right="948"/>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Использование мочи в качестве биологического материала</w:t>
      </w:r>
    </w:p>
    <w:p w:rsidR="005661C0" w:rsidRPr="000E0324" w:rsidRDefault="005661C0" w:rsidP="00903CB0">
      <w:pPr>
        <w:spacing w:before="11" w:after="0" w:line="200" w:lineRule="exact"/>
        <w:rPr>
          <w:rFonts w:ascii="Times New Roman" w:hAnsi="Times New Roman" w:cs="Times New Roman"/>
          <w:sz w:val="24"/>
          <w:szCs w:val="24"/>
          <w:lang w:val="ru-RU"/>
        </w:rPr>
      </w:pPr>
    </w:p>
    <w:p w:rsidR="005661C0" w:rsidRPr="000E0324" w:rsidRDefault="00855820" w:rsidP="00785F17">
      <w:pPr>
        <w:spacing w:after="0" w:line="360"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55. Если достоверно определить профиль «концентрация – время» в плазме исходного соединения невозможно, то для определения величины экспозиции в качестве замены концентрации в плазме допустимо использование данных об экскреции с мочой. Однако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четко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мочи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определении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максимальной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экспозиции.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удается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получить</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достоверные сведения о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в плазме, то для оценки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наряду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величиной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экспозиции,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мочи.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использовании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мочи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материала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заявитель обязан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имеющиеся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подтверждающие,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 экскреция с мочой отражает экспозицию в плазме.</w:t>
      </w:r>
    </w:p>
    <w:p w:rsidR="005661C0" w:rsidRPr="000E0324" w:rsidRDefault="005661C0" w:rsidP="00903CB0">
      <w:pPr>
        <w:spacing w:before="12"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321" w:right="3312"/>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Эндогенные вещества</w:t>
      </w:r>
    </w:p>
    <w:p w:rsidR="005661C0" w:rsidRPr="000E0324" w:rsidRDefault="005661C0" w:rsidP="00903CB0">
      <w:pPr>
        <w:spacing w:before="11"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56.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эндогенным,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 измерение фармакокинетических параметров необходимо осуществлять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поправкой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фоновое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исследуемые фармакокинетические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относились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дополнительным концентрациям,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вследствие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переносимости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концентрацию, превосходящую фоновую 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достигаемую после приема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достоверно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эндогенных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допустимо применение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максимальные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разовые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эндогенного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разница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экспозиции ранее не была показана, ее необходимо определить либо в пилотном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либо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основного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 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 использование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позволит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потенциальные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 между лекарственными препаратами.</w:t>
      </w:r>
    </w:p>
    <w:p w:rsidR="005661C0" w:rsidRPr="000E0324" w:rsidRDefault="00855820" w:rsidP="00785F17">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описать</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метод,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поправки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фоновое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содержание эндогенного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поправки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предпочтительно</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 стандартное вычитание: вычитается либо средняя концентрация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эндогенного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либо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средняя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Изредка,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когда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 эндогенного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существенно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фоновую,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поправка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фоновое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содержание эндогенного вещества не требуется.</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57.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эндогенных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 напрямую оценить влияние эффекта переноса не представляется возможным, поэтому необходимо соблюдать особую осторожность при выборе длительности отмывочного периода.</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061"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 Исследуемые дозировки</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58.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подлежат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несколько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зависимости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пропорциональности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различными дозировками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 одной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двух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зависит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 линейности фармакокинетики действующего вещества.</w:t>
      </w:r>
    </w:p>
    <w:p w:rsidR="005661C0" w:rsidRPr="000E0324" w:rsidRDefault="00855820" w:rsidP="00785F17">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59.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нелинейна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(увеличение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sz w:val="24"/>
          <w:szCs w:val="24"/>
          <w:lang w:val="ru-RU"/>
        </w:rPr>
        <w:t xml:space="preserve"> непропорционально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принимаемой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пригодность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различных дозировок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потенциальных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 сравниваемыми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отличаться. Линейность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признается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разница 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скорректированными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исследуемой дозировки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 которой(ых)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планируется,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линейности</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заявитель должен изучить и критически оценить всю доступную научную литературу на предмет пропорциональности дозы. Линейность констатируется,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скорректированными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дозе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sz w:val="24"/>
          <w:szCs w:val="24"/>
          <w:lang w:val="ru-RU"/>
        </w:rPr>
        <w:t xml:space="preserve"> находятся в пределах ±25 процентов.</w:t>
      </w:r>
    </w:p>
    <w:p w:rsidR="005661C0" w:rsidRPr="000E0324" w:rsidRDefault="00855820" w:rsidP="00903CB0">
      <w:pPr>
        <w:spacing w:before="12"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 биоэквивалентность для дозировок, обладающей наибольшей чувствительностью в отношении установления различий между сравниваемыми лекарственными препаратами, подтверждена, то в проведении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другими дозировками нет необходимости.</w:t>
      </w:r>
    </w:p>
    <w:p w:rsidR="005661C0" w:rsidRPr="000E0324" w:rsidRDefault="005661C0" w:rsidP="00903CB0">
      <w:pPr>
        <w:spacing w:before="13" w:after="0" w:line="240" w:lineRule="exact"/>
        <w:rPr>
          <w:rFonts w:ascii="Times New Roman" w:hAnsi="Times New Roman" w:cs="Times New Roman"/>
          <w:sz w:val="24"/>
          <w:szCs w:val="24"/>
          <w:lang w:val="ru-RU"/>
        </w:rPr>
      </w:pPr>
    </w:p>
    <w:p w:rsidR="005661C0" w:rsidRPr="000E0324" w:rsidRDefault="00855820" w:rsidP="00903CB0">
      <w:pPr>
        <w:spacing w:after="0" w:line="344" w:lineRule="exact"/>
        <w:ind w:left="2403" w:right="1887" w:hanging="454"/>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Общие критерии биовейвера для различных дозировок лекарственного препарата</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60.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необходимости 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 дополнительных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(биовейвер),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соблюдаться следующие условия:</w:t>
      </w:r>
    </w:p>
    <w:p w:rsidR="005661C0" w:rsidRPr="000E0324" w:rsidRDefault="00855820" w:rsidP="00903CB0">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производственный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процесс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различными дозировками является одинаковым;</w:t>
      </w:r>
    </w:p>
    <w:p w:rsidR="005661C0" w:rsidRPr="000E0324" w:rsidRDefault="00855820" w:rsidP="00903CB0">
      <w:pPr>
        <w:spacing w:before="6" w:after="0" w:line="359"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качественный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различными дозировками совпадает (данное требование не касается красителей и ароматизаторов);</w:t>
      </w:r>
    </w:p>
    <w:p w:rsidR="005661C0" w:rsidRPr="000E0324" w:rsidRDefault="00855820" w:rsidP="00785F17">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состав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дозировками 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пропорционален: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 содержанием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каждого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совпадает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дозировок (данное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касается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оболочек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немедленным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оболочек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капсул,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красителей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ароматизаторов).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пропорциональность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состава</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считается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выполненным,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предполагается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 соблюдаются условия «</w:t>
      </w:r>
      <w:r w:rsidRPr="000E0324">
        <w:rPr>
          <w:rFonts w:ascii="Times New Roman" w:eastAsia="Times New Roman" w:hAnsi="Times New Roman" w:cs="Times New Roman"/>
          <w:sz w:val="24"/>
          <w:szCs w:val="24"/>
        </w:rPr>
        <w:t>i</w:t>
      </w:r>
      <w:r w:rsidRPr="000E0324">
        <w:rPr>
          <w:rFonts w:ascii="Times New Roman" w:eastAsia="Times New Roman" w:hAnsi="Times New Roman" w:cs="Times New Roman"/>
          <w:sz w:val="24"/>
          <w:szCs w:val="24"/>
          <w:lang w:val="ru-RU"/>
        </w:rPr>
        <w:t>» и «</w:t>
      </w:r>
      <w:r w:rsidRPr="000E0324">
        <w:rPr>
          <w:rFonts w:ascii="Times New Roman" w:eastAsia="Times New Roman" w:hAnsi="Times New Roman" w:cs="Times New Roman"/>
          <w:sz w:val="24"/>
          <w:szCs w:val="24"/>
        </w:rPr>
        <w:t>ii</w:t>
      </w:r>
      <w:r w:rsidRPr="000E0324">
        <w:rPr>
          <w:rFonts w:ascii="Times New Roman" w:eastAsia="Times New Roman" w:hAnsi="Times New Roman" w:cs="Times New Roman"/>
          <w:sz w:val="24"/>
          <w:szCs w:val="24"/>
          <w:lang w:val="ru-RU"/>
        </w:rPr>
        <w:t>» или «</w:t>
      </w:r>
      <w:r w:rsidRPr="000E0324">
        <w:rPr>
          <w:rFonts w:ascii="Times New Roman" w:eastAsia="Times New Roman" w:hAnsi="Times New Roman" w:cs="Times New Roman"/>
          <w:sz w:val="24"/>
          <w:szCs w:val="24"/>
        </w:rPr>
        <w:t>i</w:t>
      </w:r>
      <w:r w:rsidRPr="000E0324">
        <w:rPr>
          <w:rFonts w:ascii="Times New Roman" w:eastAsia="Times New Roman" w:hAnsi="Times New Roman" w:cs="Times New Roman"/>
          <w:sz w:val="24"/>
          <w:szCs w:val="24"/>
          <w:lang w:val="ru-RU"/>
        </w:rPr>
        <w:t>» и «</w:t>
      </w:r>
      <w:r w:rsidRPr="000E0324">
        <w:rPr>
          <w:rFonts w:ascii="Times New Roman" w:eastAsia="Times New Roman" w:hAnsi="Times New Roman" w:cs="Times New Roman"/>
          <w:sz w:val="24"/>
          <w:szCs w:val="24"/>
        </w:rPr>
        <w:t>iii</w:t>
      </w:r>
      <w:r w:rsidRPr="000E0324">
        <w:rPr>
          <w:rFonts w:ascii="Times New Roman" w:eastAsia="Times New Roman" w:hAnsi="Times New Roman" w:cs="Times New Roman"/>
          <w:sz w:val="24"/>
          <w:szCs w:val="24"/>
          <w:lang w:val="ru-RU"/>
        </w:rPr>
        <w:t>»:</w:t>
      </w:r>
    </w:p>
    <w:p w:rsidR="005661C0" w:rsidRPr="000E0324" w:rsidRDefault="00855820" w:rsidP="00903CB0">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w:t>
      </w:r>
      <w:r w:rsidRPr="000E0324">
        <w:rPr>
          <w:rFonts w:ascii="Times New Roman" w:eastAsia="Times New Roman" w:hAnsi="Times New Roman" w:cs="Times New Roman"/>
          <w:sz w:val="24"/>
          <w:szCs w:val="24"/>
          <w:lang w:val="ru-RU"/>
        </w:rPr>
        <w:t xml:space="preserve">) </w:t>
      </w:r>
      <w:proofErr w:type="gramStart"/>
      <w:r w:rsidRPr="000E0324">
        <w:rPr>
          <w:rFonts w:ascii="Times New Roman" w:eastAsia="Times New Roman" w:hAnsi="Times New Roman" w:cs="Times New Roman"/>
          <w:sz w:val="24"/>
          <w:szCs w:val="24"/>
          <w:lang w:val="ru-RU"/>
        </w:rPr>
        <w:t>содержание</w:t>
      </w:r>
      <w:proofErr w:type="gramEnd"/>
      <w:r w:rsidRPr="000E0324">
        <w:rPr>
          <w:rFonts w:ascii="Times New Roman" w:eastAsia="Times New Roman" w:hAnsi="Times New Roman" w:cs="Times New Roman"/>
          <w:sz w:val="24"/>
          <w:szCs w:val="24"/>
          <w:lang w:val="ru-RU"/>
        </w:rPr>
        <w:t xml:space="preserve"> действующего вещества (действующих веществ) не превышает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 процентов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массы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ядра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таблетки,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массы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содержимого капсулы;</w:t>
      </w:r>
    </w:p>
    <w:p w:rsidR="005661C0" w:rsidRPr="000E0324" w:rsidRDefault="00855820" w:rsidP="00903CB0">
      <w:pPr>
        <w:spacing w:before="4"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ii</w:t>
      </w:r>
      <w:r w:rsidRPr="000E0324">
        <w:rPr>
          <w:rFonts w:ascii="Times New Roman" w:eastAsia="Times New Roman" w:hAnsi="Times New Roman" w:cs="Times New Roman"/>
          <w:sz w:val="24"/>
          <w:szCs w:val="24"/>
          <w:lang w:val="ru-RU"/>
        </w:rPr>
        <w:t xml:space="preserve">) </w:t>
      </w:r>
      <w:proofErr w:type="gramStart"/>
      <w:r w:rsidRPr="000E0324">
        <w:rPr>
          <w:rFonts w:ascii="Times New Roman" w:eastAsia="Times New Roman" w:hAnsi="Times New Roman" w:cs="Times New Roman"/>
          <w:sz w:val="24"/>
          <w:szCs w:val="24"/>
          <w:lang w:val="ru-RU"/>
        </w:rPr>
        <w:t>содержание</w:t>
      </w:r>
      <w:proofErr w:type="gramEnd"/>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ядра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таблетки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содержимого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капсулы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совпадает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регистрируемых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дозировок, изменяется лишь содержание действующего вещества;</w:t>
      </w:r>
    </w:p>
    <w:p w:rsidR="005661C0" w:rsidRPr="000E0324" w:rsidRDefault="00855820" w:rsidP="00903CB0">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iii</w:t>
      </w:r>
      <w:r w:rsidRPr="000E0324">
        <w:rPr>
          <w:rFonts w:ascii="Times New Roman" w:eastAsia="Times New Roman" w:hAnsi="Times New Roman" w:cs="Times New Roman"/>
          <w:sz w:val="24"/>
          <w:szCs w:val="24"/>
          <w:lang w:val="ru-RU"/>
        </w:rPr>
        <w:t xml:space="preserve">) </w:t>
      </w:r>
      <w:proofErr w:type="gramStart"/>
      <w:r w:rsidRPr="000E0324">
        <w:rPr>
          <w:rFonts w:ascii="Times New Roman" w:eastAsia="Times New Roman" w:hAnsi="Times New Roman" w:cs="Times New Roman"/>
          <w:sz w:val="24"/>
          <w:szCs w:val="24"/>
          <w:lang w:val="ru-RU"/>
        </w:rPr>
        <w:t>содержание</w:t>
      </w:r>
      <w:proofErr w:type="gramEnd"/>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наполнителей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зависимости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от содержания действующего </w:t>
      </w:r>
      <w:r w:rsidRPr="000E0324">
        <w:rPr>
          <w:rFonts w:ascii="Times New Roman" w:eastAsia="Times New Roman" w:hAnsi="Times New Roman" w:cs="Times New Roman"/>
          <w:sz w:val="24"/>
          <w:szCs w:val="24"/>
          <w:lang w:val="ru-RU"/>
        </w:rPr>
        <w:lastRenderedPageBreak/>
        <w:t>вещества; содержание остальных вспомогательных веществ ядра или содержимого капсулы для рассматриваемых дозировок остается неизменным;</w:t>
      </w:r>
    </w:p>
    <w:p w:rsidR="005661C0" w:rsidRPr="000E0324" w:rsidRDefault="00855820" w:rsidP="00903CB0">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ТСКР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в проведении дополнительного исследования биоэквивалентности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Pr="000E0324">
        <w:rPr>
          <w:rFonts w:ascii="Times New Roman" w:eastAsia="Times New Roman" w:hAnsi="Times New Roman" w:cs="Times New Roman"/>
          <w:sz w:val="24"/>
          <w:szCs w:val="24"/>
          <w:lang w:val="ru-RU"/>
        </w:rPr>
        <w:t>.</w:t>
      </w:r>
    </w:p>
    <w:p w:rsidR="005661C0" w:rsidRPr="000E0324" w:rsidRDefault="005661C0" w:rsidP="00903CB0">
      <w:pPr>
        <w:spacing w:before="6"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982"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Линейная фармакокинетика</w:t>
      </w:r>
    </w:p>
    <w:p w:rsidR="005661C0" w:rsidRPr="000E0324" w:rsidRDefault="005661C0" w:rsidP="00903CB0">
      <w:pPr>
        <w:spacing w:before="11"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61.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пункте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 выполняются,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 биоэквивалентности в отношении одной дозировки.</w:t>
      </w:r>
    </w:p>
    <w:p w:rsidR="005661C0" w:rsidRPr="000E0324" w:rsidRDefault="00855820" w:rsidP="00785F17">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62. 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проводится для наибольшей дозировки. Для лекарственных препаратов с линейной фармакокинетикой при условии высокой растворимости действующего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использованием меньших дозировок. Выбор меньшей дозировки также 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позиций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безопасности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переносимости, когда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наибольшей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здоровых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добровольцев</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неприемлемо.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Кроме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чувствительность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 метода не позволяет точно измерить концентрацию при приеме наибольшей дозировки допускается применение более высокой дозы (предпочтительно использовать несколько таблеток с наибольшей дозировкой).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максимальной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терапевтической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 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лишь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хорошо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переносится здоровыми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добровольцами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ограничения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степени абсорбции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принятого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такой дозе.</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833"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Нелинейная фармакокинетика</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63.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терапевтическом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увеличения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sz w:val="24"/>
          <w:szCs w:val="24"/>
          <w:lang w:val="ru-RU"/>
        </w:rPr>
        <w:t xml:space="preserve">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нелинейной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больше степени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увеличения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обычно проводится с использованием наибольшей дозировки. Как и в случае с лекарственными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линейной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выбор меньшей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позиций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безопасности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переносимости,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когда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наибольшей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здоровых добровольцев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неприемлемо.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Вследствие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низкой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чувствительности 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аналогично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линейной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 высоких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нелинейной фармакокинетикой.</w:t>
      </w:r>
    </w:p>
    <w:p w:rsidR="005661C0" w:rsidRPr="000E0324" w:rsidRDefault="00855820" w:rsidP="00785F17">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64. Исследование биоэквивалентности лекарственных препаратов, 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терапевтическом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увеличивается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меньше, 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увеличение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большинстве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случаев требуется проводить для наибольшей и наименьшей дозировок (или для дозировки, фармакокинетика которой находится в линейном диапазоне),</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то есть в этом случае проводится 2 исследования биоэквивалентности. Если нелинейность не обусловлена низкой растворимостью, а объясняется, например, насыщением переносчиков и соблюдаются условия, указанные в пункте 60 настоящих Правил) и сравниваемые лекарственные препараты не </w:t>
      </w:r>
      <w:r w:rsidRPr="000E0324">
        <w:rPr>
          <w:rFonts w:ascii="Times New Roman" w:eastAsia="Times New Roman" w:hAnsi="Times New Roman" w:cs="Times New Roman"/>
          <w:sz w:val="24"/>
          <w:szCs w:val="24"/>
          <w:lang w:val="ru-RU"/>
        </w:rPr>
        <w:lastRenderedPageBreak/>
        <w:t>содержат вспомогательных веществ, влияющих на моторику желудо</w:t>
      </w:r>
      <w:r w:rsidR="00785F17" w:rsidRPr="000E0324">
        <w:rPr>
          <w:rFonts w:ascii="Times New Roman" w:eastAsia="Times New Roman" w:hAnsi="Times New Roman" w:cs="Times New Roman"/>
          <w:sz w:val="24"/>
          <w:szCs w:val="24"/>
          <w:lang w:val="ru-RU"/>
        </w:rPr>
        <w:t>чно-кишечного тракта или белки-</w:t>
      </w:r>
      <w:r w:rsidRPr="000E0324">
        <w:rPr>
          <w:rFonts w:ascii="Times New Roman" w:eastAsia="Times New Roman" w:hAnsi="Times New Roman" w:cs="Times New Roman"/>
          <w:sz w:val="24"/>
          <w:szCs w:val="24"/>
          <w:lang w:val="ru-RU"/>
        </w:rPr>
        <w:t>переносчики, достаточно проведения исследования биоэквивалентности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наименьшей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которой находится в линейном диапазоне). Выбор других дозировок может быть обоснован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низкой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чувствительностью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когда проведение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наименьшей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невозможно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применение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наибольшей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здоровых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добровольцев неприемлемо с позиций безопасности или переносимости.</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839"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Исследование крайних вариантов (брекетинг)</w:t>
      </w:r>
    </w:p>
    <w:p w:rsidR="005661C0" w:rsidRPr="000E0324" w:rsidRDefault="005661C0" w:rsidP="00903CB0">
      <w:pPr>
        <w:spacing w:before="11" w:after="0" w:line="200" w:lineRule="exact"/>
        <w:rPr>
          <w:rFonts w:ascii="Times New Roman" w:hAnsi="Times New Roman" w:cs="Times New Roman"/>
          <w:sz w:val="24"/>
          <w:szCs w:val="24"/>
          <w:lang w:val="ru-RU"/>
        </w:rPr>
      </w:pPr>
    </w:p>
    <w:p w:rsidR="005661C0" w:rsidRPr="000E0324" w:rsidRDefault="00855820" w:rsidP="00903CB0">
      <w:pPr>
        <w:spacing w:after="0" w:line="384"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65.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 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вследствие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пропорциональности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подход,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позволяющий ограничиться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крайних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выбранные дозировки представляют собой крайние значения, например, максимальная и минимальная дозировки или дозировки, наиболее резко отличающиеся по составу (то есть отличия по составу других дозировок укладываются в эту разность), то допустимо проведение 2 исследований биоэквивалентности.</w:t>
      </w:r>
    </w:p>
    <w:p w:rsidR="005661C0" w:rsidRPr="000E0324" w:rsidRDefault="00855820" w:rsidP="00785F17">
      <w:pPr>
        <w:spacing w:before="7" w:after="0" w:line="384"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66.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осуществить натощак и после приема пищи для 2 дозировок вследствие нелинейной абсорбции или отклонений от пропорциональности состава, достаточно</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 исследование натощак и после приема пищи 1 дозировки. Отсутствие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натощак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после приема пищи для других дозировок может быть обосновано данными научной литературы и (или) данными о фармакокинетике, полученными при изучении исследуемой дозировки из других исследований, проведенных натощак и после приема пищи. При выборе условий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(натощак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пищи)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остальных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предпочтение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условиям, обладающим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наибольшей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чувствительностью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выявлении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возможных различий между сравниваемыми лекарственными препаратами.</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828" w:right="182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Комбинированные лекарственные препараты</w:t>
      </w:r>
    </w:p>
    <w:p w:rsidR="005661C0" w:rsidRPr="000E0324" w:rsidRDefault="005661C0" w:rsidP="00903CB0">
      <w:pPr>
        <w:spacing w:before="11" w:after="0" w:line="200" w:lineRule="exact"/>
        <w:rPr>
          <w:rFonts w:ascii="Times New Roman" w:hAnsi="Times New Roman" w:cs="Times New Roman"/>
          <w:sz w:val="24"/>
          <w:szCs w:val="24"/>
          <w:lang w:val="ru-RU"/>
        </w:rPr>
      </w:pPr>
    </w:p>
    <w:p w:rsidR="005661C0" w:rsidRPr="000E0324" w:rsidRDefault="00855820" w:rsidP="00903CB0">
      <w:pPr>
        <w:spacing w:after="0" w:line="384"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67.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комбинированных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 препаратов должны выполняться условия пропорциональности состава, предусмотренные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содержания каждого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комбинации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остальные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действующие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рассматриваться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вспомогательных 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двухслойных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таблеток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рассматриваться независимо.</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209" w:right="1202"/>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 Методология биоаналитической части исследования</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68. Биоаналитическая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 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осуществляться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 настоящим Правилам.</w:t>
      </w:r>
    </w:p>
    <w:p w:rsidR="005661C0" w:rsidRPr="000E0324" w:rsidRDefault="00855820" w:rsidP="00785F17">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Для получения надежных результатов, поддающихся удовлетворительной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интерпретации,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подробно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описать</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используемые биоаналитические методики, полностью их валидировать 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пригодность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использованием образцов для контроля качества.</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69. Основными характеристиками биоаналитической методики для обеспечения приемлемости и достоверности полученных аналитических данных являются селективность, нижний предел количественного определения, функция отклика (форма градуировочной кривой), правильность, прецизионность и стабильность.</w:t>
      </w:r>
    </w:p>
    <w:p w:rsidR="005661C0" w:rsidRPr="000E0324" w:rsidRDefault="00855820" w:rsidP="00785F17">
      <w:pPr>
        <w:spacing w:before="4" w:after="0" w:line="354"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70. Поскольку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поддающаяся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обнаружению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 анализируемого вещества до приема лекарственного препарата должна составлять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 определения методики должен обеспечивать определение концентрации</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 процентов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настоящего раздела).</w:t>
      </w:r>
    </w:p>
    <w:p w:rsidR="005661C0" w:rsidRPr="000E0324" w:rsidRDefault="00855820" w:rsidP="00903CB0">
      <w:pPr>
        <w:spacing w:before="3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71.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предусмотреть возможность проведения повторного анализа исследуемых образцов до фактического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начала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обычных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повторный 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причинам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 особенно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поскольку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 может исказить результаты исследования.</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Лица,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осуществляющие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 принимаемых субъектами исследуемых препаратах.</w:t>
      </w:r>
    </w:p>
    <w:p w:rsidR="005661C0" w:rsidRPr="000E0324" w:rsidRDefault="005661C0" w:rsidP="00903CB0">
      <w:pPr>
        <w:spacing w:before="9"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848"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 Оценка, анализ и представление результатов исследования</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785F17">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72. Поправку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 сериями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параметров вводить, как правило, не допускается. Однако в исключительных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случаях,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 между сериями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 и исследуемого лекарственных препаратов не превышают 5 процентов (с учетом требований подраздела 2 настоящего раздела), такая поправка допустима.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Поправку,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наряду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 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необходимо отразить в протоколе исследования.</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194"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Отбор субъектов для анализа результатов исследования</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73.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возможности, включить всех субъектов, принявших лекарственный препарат. Однако субъекты,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участвовавшие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перекрестном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 отсутствуют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препарату, так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субъекты, участвовавшие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параллельном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отсутствуют данные единственного периода, не должны включаться в анализ.</w:t>
      </w:r>
    </w:p>
    <w:p w:rsidR="005661C0" w:rsidRPr="000E0324" w:rsidRDefault="00855820" w:rsidP="00903CB0">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Обработку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принимавших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 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одинаковыми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методами. В протоколе исследования не допускается предусматривать включение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«дублерах»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добровольцев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только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замены 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было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выбываний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предусмотреть включение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принявших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Таким образом,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включать дублеров, проходящих процедуры исследования биоэквивалентности отдельно от основной выборки, не допускается.</w:t>
      </w:r>
    </w:p>
    <w:p w:rsidR="005661C0" w:rsidRPr="000E0324" w:rsidRDefault="00855820" w:rsidP="00785F17">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74. В исследовании с более чем 2 группами сравнения (например, трехпериодное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лекарственными препаратами или четырехпериодное исследование при приеме натощак</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после приема пищи) анализ по каждой сравниваемой паре необходимо осуществлять лишь после предварительного исключения данных, не относящихся к сравниваемым группам.</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785F17">
      <w:pPr>
        <w:spacing w:after="0" w:line="240" w:lineRule="auto"/>
        <w:ind w:left="2613" w:right="260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Критерии исключения субъектов</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 анализа результатов исследования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75.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объективной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рандомизированных исследований необходимо, чтобы наблюдение и ведение всех субъектов осуществлялось по единым правилам. Эти правила не должны зависеть от принимаемого лекарственного препарата или исхода, поэтому решение об исключении субъекта из статистического анализа необходимо принять до начала лабораторного анализа образцов.</w:t>
      </w:r>
    </w:p>
    <w:p w:rsidR="005661C0" w:rsidRPr="000E0324" w:rsidRDefault="00855820" w:rsidP="00903CB0">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76. Любая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причина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исключения 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 решение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принято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начала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 вследствие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снижения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мощности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минимуме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избегать исключения последних из исследования.</w:t>
      </w:r>
    </w:p>
    <w:p w:rsidR="005661C0" w:rsidRPr="000E0324" w:rsidRDefault="00855820" w:rsidP="00903CB0">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Допустимыми критериями исключения субъектов из исследования являются рвота или диарея, которые способны исказить результаты измерения концентрации анализируемого вещества. В исключительных ситуациях критерием исключения также может служить одновременное применение других лекарственных препаратов.</w:t>
      </w:r>
    </w:p>
    <w:p w:rsidR="005661C0" w:rsidRPr="000E0324" w:rsidRDefault="00855820" w:rsidP="00785F17">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77.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описать критерии исключения субъектов. Если возникает ситуация, трактуемая 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занести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индивидуальную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регистрационную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карту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заранее</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предусмотренных критериях, необходимо четко отразить и перечислить в отчете об исследовании.</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78. Ввиду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невозможности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отделить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лекарственных препаратов от других факторов, влияющих на фармакокинетику, исключение данных только на основании </w:t>
      </w:r>
      <w:r w:rsidRPr="000E0324">
        <w:rPr>
          <w:rFonts w:ascii="Times New Roman" w:eastAsia="Times New Roman" w:hAnsi="Times New Roman" w:cs="Times New Roman"/>
          <w:sz w:val="24"/>
          <w:szCs w:val="24"/>
          <w:lang w:val="ru-RU"/>
        </w:rPr>
        <w:lastRenderedPageBreak/>
        <w:t>статистического анализа или по</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фармакокинетическим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причинам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 данного правила являются:</w:t>
      </w:r>
    </w:p>
    <w:p w:rsidR="005661C0" w:rsidRPr="000E0324" w:rsidRDefault="00855820" w:rsidP="00785F17">
      <w:pPr>
        <w:spacing w:before="4"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субъекты,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плазме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лишь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незначительных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признаются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очень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низкими,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превышает</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геометрической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(рассчитанной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выбросами).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причине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лишь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единичных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ставит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сомнение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достоверность (валидность) проведенного исследования;</w:t>
      </w:r>
    </w:p>
    <w:p w:rsidR="005661C0" w:rsidRPr="000E0324" w:rsidRDefault="00855820" w:rsidP="00903CB0">
      <w:pPr>
        <w:spacing w:before="7" w:after="0" w:line="355" w:lineRule="auto"/>
        <w:ind w:left="102" w:right="3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субъекты с ненулевой исходной концентрацией анализируемого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превышающей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 необходимо исключить из исследования биоэквивалентности (в соответствии с требованиями подраздела «Эффекты переноса» настоящего подраздела).</w:t>
      </w:r>
    </w:p>
    <w:p w:rsidR="005661C0" w:rsidRPr="000E0324" w:rsidRDefault="00855820" w:rsidP="00785F17">
      <w:pPr>
        <w:spacing w:before="13"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79.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немедленным высвобождением указанные в настоящем подразделе ситуации могут возникать в случае несоблюдения субъектами режима исследования или недостаточном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отмывочном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предусмотреть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осмотр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ротовой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 удостовериться,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проглочен,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 втором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предусмотреть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отмывочный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Биологические образцы субъектов, исключенных из статистического анализа, необходимо проанализировать, а их результаты представить в отчете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подраздела</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«Представление данных» настоящего подраздела).</w:t>
      </w:r>
    </w:p>
    <w:p w:rsidR="005661C0" w:rsidRPr="000E0324" w:rsidRDefault="00855820" w:rsidP="00903CB0">
      <w:pPr>
        <w:spacing w:after="0" w:line="353" w:lineRule="auto"/>
        <w:ind w:left="102" w:right="3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80. Согласно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 Правил</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t</w:t>
      </w:r>
      <w:r w:rsidRPr="000E0324">
        <w:rPr>
          <w:rFonts w:ascii="Times New Roman" w:eastAsia="Times New Roman" w:hAnsi="Times New Roman" w:cs="Times New Roman"/>
          <w:position w:val="-4"/>
          <w:sz w:val="24"/>
          <w:szCs w:val="24"/>
          <w:lang w:val="ru-RU"/>
        </w:rPr>
        <w:t>)</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перекрывать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80 процентов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sz w:val="24"/>
          <w:szCs w:val="24"/>
          <w:lang w:val="ru-RU"/>
        </w:rPr>
        <w:t>. Тем не менее, если это правило не выполняется, исключать субъектов из статистического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t</w:t>
      </w:r>
      <w:r w:rsidRPr="000E0324">
        <w:rPr>
          <w:rFonts w:ascii="Times New Roman" w:eastAsia="Times New Roman" w:hAnsi="Times New Roman" w:cs="Times New Roman"/>
          <w:position w:val="-4"/>
          <w:sz w:val="24"/>
          <w:szCs w:val="24"/>
          <w:lang w:val="ru-RU"/>
        </w:rPr>
        <w:t>)</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не перекрывает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80 процентов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20 процентах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случаев, следует усомниться в результатах такого исследования. Это требование 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длительностью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образцов, равным 72 ч и более, когда вместо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t</w:t>
      </w:r>
      <w:r w:rsidRPr="000E0324">
        <w:rPr>
          <w:rFonts w:ascii="Times New Roman" w:eastAsia="Times New Roman" w:hAnsi="Times New Roman" w:cs="Times New Roman"/>
          <w:position w:val="-4"/>
          <w:sz w:val="24"/>
          <w:szCs w:val="24"/>
          <w:lang w:val="ru-RU"/>
        </w:rPr>
        <w:t>)</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 xml:space="preserve">используется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(0–72</w:t>
      </w:r>
      <w:r w:rsidRPr="000E0324">
        <w:rPr>
          <w:rFonts w:ascii="Times New Roman" w:eastAsia="Times New Roman" w:hAnsi="Times New Roman" w:cs="Times New Roman"/>
          <w:spacing w:val="-4"/>
          <w:position w:val="-4"/>
          <w:sz w:val="24"/>
          <w:szCs w:val="24"/>
          <w:lang w:val="ru-RU"/>
        </w:rPr>
        <w:t xml:space="preserve"> </w:t>
      </w:r>
      <w:r w:rsidRPr="000E0324">
        <w:rPr>
          <w:rFonts w:ascii="Times New Roman" w:eastAsia="Times New Roman" w:hAnsi="Times New Roman" w:cs="Times New Roman"/>
          <w:position w:val="-4"/>
          <w:sz w:val="24"/>
          <w:szCs w:val="24"/>
          <w:lang w:val="ru-RU"/>
        </w:rPr>
        <w:t>ч)</w:t>
      </w:r>
      <w:r w:rsidRPr="000E0324">
        <w:rPr>
          <w:rFonts w:ascii="Times New Roman" w:eastAsia="Times New Roman" w:hAnsi="Times New Roman" w:cs="Times New Roman"/>
          <w:sz w:val="24"/>
          <w:szCs w:val="24"/>
          <w:lang w:val="ru-RU"/>
        </w:rPr>
        <w:t>.</w:t>
      </w:r>
    </w:p>
    <w:p w:rsidR="005661C0" w:rsidRPr="000E0324" w:rsidRDefault="005661C0" w:rsidP="00903CB0">
      <w:pPr>
        <w:spacing w:before="10" w:after="0" w:line="220" w:lineRule="exact"/>
        <w:rPr>
          <w:rFonts w:ascii="Times New Roman" w:hAnsi="Times New Roman" w:cs="Times New Roman"/>
          <w:sz w:val="24"/>
          <w:szCs w:val="24"/>
          <w:lang w:val="ru-RU"/>
        </w:rPr>
      </w:pPr>
    </w:p>
    <w:p w:rsidR="005661C0" w:rsidRPr="000E0324" w:rsidRDefault="00855820" w:rsidP="00903CB0">
      <w:pPr>
        <w:spacing w:after="0" w:line="240" w:lineRule="auto"/>
        <w:ind w:left="1506"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Анализируемые параметры и допустимые пределы</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785F17">
      <w:pPr>
        <w:spacing w:after="0" w:line="355"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81. В исследованиях биоэквивалентности с однократным приемом лекарственного препарата к исследуемым фармакокинетическим параметрам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относятся: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t</w:t>
      </w:r>
      <w:r w:rsidRPr="000E0324">
        <w:rPr>
          <w:rFonts w:ascii="Times New Roman" w:eastAsia="Times New Roman" w:hAnsi="Times New Roman" w:cs="Times New Roman"/>
          <w:position w:val="-4"/>
          <w:sz w:val="24"/>
          <w:szCs w:val="24"/>
          <w:lang w:val="ru-RU"/>
        </w:rPr>
        <w:t>)</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(0–72</w:t>
      </w:r>
      <w:r w:rsidRPr="000E0324">
        <w:rPr>
          <w:rFonts w:ascii="Times New Roman" w:eastAsia="Times New Roman" w:hAnsi="Times New Roman" w:cs="Times New Roman"/>
          <w:spacing w:val="-4"/>
          <w:position w:val="-4"/>
          <w:sz w:val="24"/>
          <w:szCs w:val="24"/>
          <w:lang w:val="ru-RU"/>
        </w:rPr>
        <w:t xml:space="preserve"> </w:t>
      </w:r>
      <w:r w:rsidRPr="000E0324">
        <w:rPr>
          <w:rFonts w:ascii="Times New Roman" w:eastAsia="Times New Roman" w:hAnsi="Times New Roman" w:cs="Times New Roman"/>
          <w:position w:val="-4"/>
          <w:sz w:val="24"/>
          <w:szCs w:val="24"/>
          <w:lang w:val="ru-RU"/>
        </w:rPr>
        <w:t>ч)</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соответственно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 Отношение данных параметров исследуемого лекарственного препарата к референтному лекарственному препарату должно лежать в интервале</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80,00-125,00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процентном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доверительном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интервале. Границы интервалов округляются до двух знаков после запятой.</w:t>
      </w:r>
    </w:p>
    <w:p w:rsidR="005661C0" w:rsidRPr="000E0324" w:rsidRDefault="00855820" w:rsidP="00903CB0">
      <w:pPr>
        <w:spacing w:before="4" w:after="0" w:line="362" w:lineRule="auto"/>
        <w:ind w:left="102" w:right="3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82. 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изучаемым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немедленным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определением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равновесной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относятся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τ</w:t>
      </w:r>
      <w:r w:rsidRPr="000E0324">
        <w:rPr>
          <w:rFonts w:ascii="Times New Roman" w:eastAsia="Times New Roman" w:hAnsi="Times New Roman" w:cs="Times New Roman"/>
          <w:position w:val="-4"/>
          <w:sz w:val="24"/>
          <w:szCs w:val="24"/>
          <w:lang w:val="ru-RU"/>
        </w:rPr>
        <w:t>)</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position w:val="-4"/>
          <w:sz w:val="24"/>
          <w:szCs w:val="24"/>
          <w:lang w:val="ru-RU"/>
        </w:rPr>
        <w:t>,</w:t>
      </w:r>
      <w:r w:rsidRPr="000E0324">
        <w:rPr>
          <w:rFonts w:ascii="Times New Roman" w:eastAsia="Times New Roman" w:hAnsi="Times New Roman" w:cs="Times New Roman"/>
          <w:position w:val="-4"/>
          <w:sz w:val="24"/>
          <w:szCs w:val="24"/>
        </w:rPr>
        <w:t>ss</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5"/>
          <w:sz w:val="24"/>
          <w:szCs w:val="24"/>
          <w:lang w:val="ru-RU"/>
        </w:rPr>
        <w:t xml:space="preserve"> </w:t>
      </w:r>
      <w:r w:rsidRPr="000E0324">
        <w:rPr>
          <w:rFonts w:ascii="Times New Roman" w:eastAsia="Times New Roman" w:hAnsi="Times New Roman" w:cs="Times New Roman"/>
          <w:sz w:val="24"/>
          <w:szCs w:val="24"/>
          <w:lang w:val="ru-RU"/>
        </w:rPr>
        <w:t>которые должны быть в пределах указанных интервалов.</w:t>
      </w:r>
    </w:p>
    <w:p w:rsidR="005661C0" w:rsidRPr="000E0324" w:rsidRDefault="00855820" w:rsidP="00903CB0">
      <w:pPr>
        <w:spacing w:before="4" w:after="0" w:line="351" w:lineRule="auto"/>
        <w:ind w:left="102" w:right="3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83. Если в качестве биологического материала используется моча, показатель Ае</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t</w:t>
      </w:r>
      <w:r w:rsidRPr="000E0324">
        <w:rPr>
          <w:rFonts w:ascii="Times New Roman" w:eastAsia="Times New Roman" w:hAnsi="Times New Roman" w:cs="Times New Roman"/>
          <w:position w:val="-4"/>
          <w:sz w:val="24"/>
          <w:szCs w:val="24"/>
          <w:lang w:val="ru-RU"/>
        </w:rPr>
        <w:t>)</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 xml:space="preserve">должен лежать в интервале, описанном для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t</w:t>
      </w:r>
      <w:r w:rsidRPr="000E0324">
        <w:rPr>
          <w:rFonts w:ascii="Times New Roman" w:eastAsia="Times New Roman" w:hAnsi="Times New Roman" w:cs="Times New Roman"/>
          <w:position w:val="-4"/>
          <w:sz w:val="24"/>
          <w:szCs w:val="24"/>
          <w:lang w:val="ru-RU"/>
        </w:rPr>
        <w:t>)</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4"/>
          <w:sz w:val="24"/>
          <w:szCs w:val="24"/>
          <w:lang w:val="ru-RU"/>
        </w:rPr>
        <w:t xml:space="preserve"> </w:t>
      </w:r>
      <w:r w:rsidRPr="000E0324">
        <w:rPr>
          <w:rFonts w:ascii="Times New Roman" w:eastAsia="Times New Roman" w:hAnsi="Times New Roman" w:cs="Times New Roman"/>
          <w:sz w:val="24"/>
          <w:szCs w:val="24"/>
          <w:lang w:val="ru-RU"/>
        </w:rPr>
        <w:t xml:space="preserve">а </w:t>
      </w:r>
      <w:r w:rsidRPr="000E0324">
        <w:rPr>
          <w:rFonts w:ascii="Times New Roman" w:eastAsia="Times New Roman" w:hAnsi="Times New Roman" w:cs="Times New Roman"/>
          <w:sz w:val="24"/>
          <w:szCs w:val="24"/>
        </w:rPr>
        <w:t>R</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 xml:space="preserve">– в интервале для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p>
    <w:p w:rsidR="005661C0" w:rsidRPr="000E0324" w:rsidRDefault="00855820" w:rsidP="00903CB0">
      <w:pPr>
        <w:spacing w:before="21" w:after="0" w:line="353"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84. Статистическая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указывается,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быстрое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имеет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клиническую значимость и влияет на начало действия или приводит к нежелательным реакциям,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значимых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 исследуемым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не должно.</w:t>
      </w:r>
    </w:p>
    <w:p w:rsidR="005661C0" w:rsidRPr="000E0324" w:rsidRDefault="00855820" w:rsidP="00903CB0">
      <w:pPr>
        <w:spacing w:before="16" w:after="0" w:line="356" w:lineRule="auto"/>
        <w:ind w:left="102" w:right="3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85. Допустимые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 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узким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терапевтическим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сузить (в соответствии с требованиями подраздела 10 настоящего раздела). Для лекарственных препаратов с высокой вариабельностью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pacing w:val="17"/>
          <w:position w:val="-4"/>
          <w:sz w:val="24"/>
          <w:szCs w:val="24"/>
          <w:lang w:val="ru-RU"/>
        </w:rPr>
        <w:t xml:space="preserve"> </w:t>
      </w:r>
      <w:r w:rsidRPr="000E0324">
        <w:rPr>
          <w:rFonts w:ascii="Times New Roman" w:eastAsia="Times New Roman" w:hAnsi="Times New Roman" w:cs="Times New Roman"/>
          <w:sz w:val="24"/>
          <w:szCs w:val="24"/>
          <w:lang w:val="ru-RU"/>
        </w:rPr>
        <w:t>в случае наличия соответствующего обоснования эти границы могут быть расширены.</w:t>
      </w:r>
    </w:p>
    <w:p w:rsidR="005661C0" w:rsidRPr="000E0324" w:rsidRDefault="005661C0" w:rsidP="00903CB0">
      <w:pPr>
        <w:spacing w:before="10"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237" w:right="323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Статистический анализ</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6" w:firstLine="732"/>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86. Главное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имеет минимизация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риска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ложноположительного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признания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маловероятность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 значимого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Процедуры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статистической обработки следует оговорить в протоколе перед началом сбора данных.</w:t>
      </w:r>
    </w:p>
    <w:p w:rsidR="005661C0" w:rsidRPr="000E0324" w:rsidRDefault="00855820" w:rsidP="00785F17">
      <w:pPr>
        <w:spacing w:before="5" w:after="0" w:line="360" w:lineRule="auto"/>
        <w:ind w:left="102" w:right="38" w:firstLine="732"/>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87.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 используют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90 процентные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доверительные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отношения геометрических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 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подход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равносилен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односторонним проверкам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нулевой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гипотезы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бионеэквивалентности)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процентном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каждого теста.</w:t>
      </w:r>
    </w:p>
    <w:p w:rsidR="005661C0" w:rsidRPr="000E0324" w:rsidRDefault="00855820" w:rsidP="00903CB0">
      <w:pPr>
        <w:spacing w:before="4" w:after="0" w:line="360" w:lineRule="auto"/>
        <w:ind w:left="102" w:right="37" w:firstLine="732"/>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88. Сравнение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параметров проводят с помощью дисперсионного анализа (</w:t>
      </w:r>
      <w:r w:rsidRPr="000E0324">
        <w:rPr>
          <w:rFonts w:ascii="Times New Roman" w:eastAsia="Times New Roman" w:hAnsi="Times New Roman" w:cs="Times New Roman"/>
          <w:sz w:val="24"/>
          <w:szCs w:val="24"/>
        </w:rPr>
        <w:t>ANOVA</w:t>
      </w:r>
      <w:r w:rsidRPr="000E0324">
        <w:rPr>
          <w:rFonts w:ascii="Times New Roman" w:eastAsia="Times New Roman" w:hAnsi="Times New Roman" w:cs="Times New Roman"/>
          <w:sz w:val="24"/>
          <w:szCs w:val="24"/>
          <w:lang w:val="ru-RU"/>
        </w:rPr>
        <w:t>). Для этого предварительно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проводят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логарифмическое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преобразование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 (по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десятичного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натурального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логарифма).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чего проводят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дисперсионный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строят доверительные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логарифмической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шкале)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поиска 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сравниваемыми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препаратами. Полученные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доверительные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подвергаются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обратному преобразованию, чтобы построить желаемые доверительные интервалы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преобразованных)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единицах измерения. Использование непараметрических методов статистического анализа не допускается.</w:t>
      </w:r>
    </w:p>
    <w:p w:rsidR="005661C0" w:rsidRPr="000E0324" w:rsidRDefault="00855820" w:rsidP="00903CB0">
      <w:pPr>
        <w:spacing w:before="5" w:after="0" w:line="360" w:lineRule="auto"/>
        <w:ind w:left="102" w:right="38" w:firstLine="732"/>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89. В протоколе исследования необходимо заранее предусмотреть выбор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конкретной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модели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Статистический 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принимать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внимание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источники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вариабельности, способные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повлиять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изучаемую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переменную.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модели </w:t>
      </w:r>
      <w:r w:rsidRPr="000E0324">
        <w:rPr>
          <w:rFonts w:ascii="Times New Roman" w:eastAsia="Times New Roman" w:hAnsi="Times New Roman" w:cs="Times New Roman"/>
          <w:sz w:val="24"/>
          <w:szCs w:val="24"/>
          <w:lang w:val="ru-RU"/>
        </w:rPr>
        <w:lastRenderedPageBreak/>
        <w:t>дисперсионного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принято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факторы,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 последовательность,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последовательности,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факторов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 использовать фиксированные, а не случайные эффекты.</w:t>
      </w:r>
    </w:p>
    <w:p w:rsidR="005661C0" w:rsidRPr="000E0324" w:rsidRDefault="00855820" w:rsidP="00903CB0">
      <w:pPr>
        <w:spacing w:before="4" w:after="0" w:line="360" w:lineRule="auto"/>
        <w:ind w:left="102" w:right="37" w:firstLine="732"/>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90. Общий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принцип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заключается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построении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90 %-ного доверительного интервала для величины </w:t>
      </w:r>
      <w:r w:rsidRPr="000E0324">
        <w:rPr>
          <w:rFonts w:ascii="Times New Roman" w:eastAsia="Times New Roman" w:hAnsi="Times New Roman" w:cs="Times New Roman"/>
          <w:i/>
          <w:sz w:val="24"/>
          <w:szCs w:val="24"/>
          <w:lang w:val="ru-RU"/>
        </w:rPr>
        <w:t>µ</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i/>
          <w:sz w:val="24"/>
          <w:szCs w:val="24"/>
          <w:lang w:val="ru-RU"/>
        </w:rPr>
        <w:t>µ</w:t>
      </w:r>
      <w:r w:rsidRPr="000E0324">
        <w:rPr>
          <w:rFonts w:ascii="Times New Roman" w:eastAsia="Times New Roman" w:hAnsi="Times New Roman" w:cs="Times New Roman"/>
          <w:sz w:val="24"/>
          <w:szCs w:val="24"/>
        </w:rPr>
        <w:t>R</w:t>
      </w:r>
      <w:r w:rsidRPr="000E0324">
        <w:rPr>
          <w:rFonts w:ascii="Times New Roman" w:eastAsia="Times New Roman" w:hAnsi="Times New Roman" w:cs="Times New Roman"/>
          <w:sz w:val="24"/>
          <w:szCs w:val="24"/>
          <w:lang w:val="ru-RU"/>
        </w:rPr>
        <w:t>, который позволяет сделать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вывод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данный доверительный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находится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принятых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признания биоэквивалентности.</w:t>
      </w:r>
    </w:p>
    <w:p w:rsidR="005661C0" w:rsidRPr="000E0324" w:rsidRDefault="00855820" w:rsidP="00903CB0">
      <w:pPr>
        <w:spacing w:before="21" w:after="0" w:line="359" w:lineRule="auto"/>
        <w:ind w:left="102" w:right="38" w:firstLine="732"/>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Аналогичную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процедуру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сравнения 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равновесном состоянии или суммарного выведения с мочой, если это требуется.</w:t>
      </w:r>
    </w:p>
    <w:p w:rsidR="005661C0" w:rsidRPr="000E0324" w:rsidRDefault="00855820" w:rsidP="00903CB0">
      <w:pPr>
        <w:spacing w:before="7" w:after="0" w:line="354" w:lineRule="auto"/>
        <w:ind w:left="102" w:right="32" w:firstLine="732"/>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91. Следует представить также данные по описательной статистике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показателя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72"/>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считается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значимым,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среднее значение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референтным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 значимых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Формальное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 редко.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Обычно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выборки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рассчитывается,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получения необходимой статистической мощности для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3"/>
          <w:sz w:val="24"/>
          <w:szCs w:val="24"/>
          <w:lang w:val="ru-RU"/>
        </w:rPr>
        <w:t xml:space="preserve"> </w:t>
      </w:r>
      <w:r w:rsidRPr="000E0324">
        <w:rPr>
          <w:rFonts w:ascii="Times New Roman" w:eastAsia="Times New Roman" w:hAnsi="Times New Roman" w:cs="Times New Roman"/>
          <w:sz w:val="24"/>
          <w:szCs w:val="24"/>
          <w:lang w:val="ru-RU"/>
        </w:rPr>
        <w:t xml:space="preserve">Если параметр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будет подвергаться статистическому анализу, то изучение должно основываться 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непараметрических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использованием непреобразованных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повышения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pacing w:val="-4"/>
          <w:position w:val="-4"/>
          <w:sz w:val="24"/>
          <w:szCs w:val="24"/>
          <w:lang w:val="ru-RU"/>
        </w:rPr>
        <w:t xml:space="preserve"> </w:t>
      </w:r>
      <w:r w:rsidRPr="000E0324">
        <w:rPr>
          <w:rFonts w:ascii="Times New Roman" w:eastAsia="Times New Roman" w:hAnsi="Times New Roman" w:cs="Times New Roman"/>
          <w:sz w:val="24"/>
          <w:szCs w:val="24"/>
          <w:lang w:val="ru-RU"/>
        </w:rPr>
        <w:t>необходимо взять достаточное количество образцов близких к ожидаемым максимальным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показателей,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описывающих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фазу элиминации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lang w:val="ru-RU"/>
        </w:rPr>
        <w:t>½</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1"/>
          <w:sz w:val="24"/>
          <w:szCs w:val="24"/>
          <w:lang w:val="ru-RU"/>
        </w:rPr>
        <w:t xml:space="preserve"> </w:t>
      </w:r>
      <w:r w:rsidRPr="000E0324">
        <w:rPr>
          <w:rFonts w:ascii="Times New Roman" w:eastAsia="Times New Roman" w:hAnsi="Times New Roman" w:cs="Times New Roman"/>
          <w:sz w:val="24"/>
          <w:szCs w:val="24"/>
          <w:lang w:val="ru-RU"/>
        </w:rPr>
        <w:t>требуется только описательная статистика.</w:t>
      </w:r>
    </w:p>
    <w:p w:rsidR="005661C0" w:rsidRPr="000E0324" w:rsidRDefault="00855820" w:rsidP="00785F17">
      <w:pPr>
        <w:spacing w:before="7" w:after="0" w:line="354" w:lineRule="auto"/>
        <w:ind w:left="102" w:right="32" w:firstLine="732"/>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92. Работа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выделяющимися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(выбросами)</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изложенными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подразделе</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только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причинам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характера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допустимо.</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404" w:right="2397"/>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Исследования в нескольких группах</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785F17">
      <w:pPr>
        <w:spacing w:after="0" w:line="360" w:lineRule="auto"/>
        <w:ind w:left="102" w:right="37" w:firstLine="732"/>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93.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перекрестное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 группах субъектов, т.е. разбиение всей выборки на несколько групп, каждая из которых начинает участие в исследовании в разные дни (например,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логистических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соображений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единовременно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центре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участием ограниченного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отражения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многогруппового характера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модифицировать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статистическую модель.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модели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факт,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 периоды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группы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отличаются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второй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последующих) группы.</w:t>
      </w:r>
    </w:p>
    <w:p w:rsidR="005661C0" w:rsidRPr="000E0324" w:rsidRDefault="00855820" w:rsidP="00903CB0">
      <w:pPr>
        <w:spacing w:before="7" w:after="0" w:line="360" w:lineRule="auto"/>
        <w:ind w:left="102" w:right="38" w:firstLine="732"/>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94.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двух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группах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 группы изучались в различных клинических центрах или в одном и том 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центре,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большим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промежутком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времени (например,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месяцами),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возникает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сомнение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относительно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возможности </w:t>
      </w:r>
      <w:r w:rsidRPr="000E0324">
        <w:rPr>
          <w:rFonts w:ascii="Times New Roman" w:eastAsia="Times New Roman" w:hAnsi="Times New Roman" w:cs="Times New Roman"/>
          <w:sz w:val="24"/>
          <w:szCs w:val="24"/>
          <w:lang w:val="ru-RU"/>
        </w:rPr>
        <w:lastRenderedPageBreak/>
        <w:t>объединения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группах,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один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 Такие ситуации необходимо обсуждать с уполномоченным органом.</w:t>
      </w:r>
    </w:p>
    <w:p w:rsidR="005661C0" w:rsidRPr="000E0324" w:rsidRDefault="00855820" w:rsidP="00903CB0">
      <w:pPr>
        <w:spacing w:before="5" w:after="0" w:line="360" w:lineRule="auto"/>
        <w:ind w:left="102" w:right="37" w:firstLine="732"/>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 предполагается проведение исследования в нескольких группах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логистических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соображений,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явно указать в протоколе исследования; при этом, если в отчете отсутствуют 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учитывающие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многогрупповой характер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научное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обоснование отсутствия таких результатов.</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522" w:right="351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Эффекты переноса</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95. 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проверки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 переноса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принятия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каких-либо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решений,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 (например,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только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периода исследования). Вероятность переноса может быть напрямую учтена при отборе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жидкости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втором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последующих).</w:t>
      </w:r>
    </w:p>
    <w:p w:rsidR="005661C0" w:rsidRPr="000E0324" w:rsidRDefault="00855820" w:rsidP="00903CB0">
      <w:pPr>
        <w:spacing w:before="21" w:after="0" w:line="357"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96.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препарата превышает 5 % от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3"/>
          <w:sz w:val="24"/>
          <w:szCs w:val="24"/>
          <w:lang w:val="ru-RU"/>
        </w:rPr>
        <w:t xml:space="preserve"> </w:t>
      </w:r>
      <w:r w:rsidRPr="000E0324">
        <w:rPr>
          <w:rFonts w:ascii="Times New Roman" w:eastAsia="Times New Roman" w:hAnsi="Times New Roman" w:cs="Times New Roman"/>
          <w:sz w:val="24"/>
          <w:szCs w:val="24"/>
          <w:lang w:val="ru-RU"/>
        </w:rPr>
        <w:t>то сведения, полученные от субъекта в данном периоде,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двухпериодного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выбывает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 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Продолжение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считается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неприемлемым,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число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подлежащих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оказалось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Данный подход не применим к исследованию эндогенных соединений.</w:t>
      </w:r>
    </w:p>
    <w:p w:rsidR="005661C0" w:rsidRPr="000E0324" w:rsidRDefault="005661C0" w:rsidP="00903CB0">
      <w:pPr>
        <w:spacing w:before="9"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165"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Двухэтапный дизайн исследований биоэквивалентности</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785F17">
      <w:pPr>
        <w:spacing w:after="0" w:line="361"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97. 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два этапа. На первом этапе проводится исследование на начальной (первичной)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группе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 Если биоэквивалентность не подтверждается,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набрать дополнительную группу и объединить результаты, полученные в обеих группах для окончательного анализа. Если выбран такой подход, то нужно принять определенные меры, чтобы сохранить неизменной вероятность ошибки </w:t>
      </w:r>
      <w:r w:rsidRPr="000E0324">
        <w:rPr>
          <w:rFonts w:ascii="Times New Roman" w:eastAsia="Times New Roman" w:hAnsi="Times New Roman" w:cs="Times New Roman"/>
          <w:sz w:val="24"/>
          <w:szCs w:val="24"/>
        </w:rPr>
        <w:t>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рода для всего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 при этом статистические критерии остановки исследования необходимо четко определить до его начала. Анализ данных, полученных в ходе первого этапа, можно рассматривать как промежуточный, и оба анализа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скорректированным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значимости. Для доверительных интервалов следует использовать скорректированную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вероятность,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равную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 использование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94,12 %-ных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доверительных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обоих анализов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этапе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объединенных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второго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этапов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будет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существует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множество других вариантов, и выбор, какой уровень значимости (</w:t>
      </w:r>
      <w:r w:rsidRPr="000E0324">
        <w:rPr>
          <w:rFonts w:ascii="Times New Roman" w:eastAsia="Times New Roman" w:hAnsi="Times New Roman" w:cs="Times New Roman"/>
          <w:sz w:val="24"/>
          <w:szCs w:val="24"/>
        </w:rPr>
        <w:t>α</w:t>
      </w:r>
      <w:r w:rsidRPr="000E0324">
        <w:rPr>
          <w:rFonts w:ascii="Times New Roman" w:eastAsia="Times New Roman" w:hAnsi="Times New Roman" w:cs="Times New Roman"/>
          <w:sz w:val="24"/>
          <w:szCs w:val="24"/>
          <w:lang w:val="ru-RU"/>
        </w:rPr>
        <w:t>) использовать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промежуточного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прерогативой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спонсора.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протоколе необходимо заранее описать двухэтапный дизайн исследования наряду со скорректированным уровнем значимости.</w:t>
      </w:r>
    </w:p>
    <w:p w:rsidR="005661C0" w:rsidRPr="000E0324" w:rsidRDefault="00855820" w:rsidP="00903CB0">
      <w:pPr>
        <w:spacing w:before="4"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98.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объединенных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двух этапов, фактор «этап» необходимо включить в модель дисперсионного анализа.</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254" w:right="3245"/>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Представление данных</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785F17">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99.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сравниваемых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 необходимо представить все значения индивидуальных концентраций и 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наряду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описательной статистики, включая геометрическое среднее, медиану, арифметическое среднее,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отклонение,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коэффициент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вариации, максимальные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минимальные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Индивидуальные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кривые</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«концентрация–время»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линейной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логарифмической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шкалах.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получения 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количество точек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терминальной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логарифмической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фазе,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константы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терминальной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элиминации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(которая используется для достоверной оценки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sz w:val="24"/>
          <w:szCs w:val="24"/>
          <w:lang w:val="ru-RU"/>
        </w:rPr>
        <w:t>).</w:t>
      </w:r>
    </w:p>
    <w:p w:rsidR="005661C0" w:rsidRPr="000E0324" w:rsidRDefault="00855820" w:rsidP="00785F17">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100.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указывать точечные оценки и 90 %-ные доверительные интервалы для отношения средних значений.</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прилагать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результирующие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таблицы дисперсионного анализа, включая результаты статистических тестов на все эффекты в использованной модели.</w:t>
      </w:r>
    </w:p>
    <w:p w:rsidR="005661C0" w:rsidRPr="000E0324" w:rsidRDefault="00855820" w:rsidP="00785F17">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101. 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детализировать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настолько,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 фармакокинетический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было</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воспроизвести,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 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анализируемых веществ, значения фармакокинетических параметров каждого субъекта в каждом периоде исследования и схему рандомизации.</w:t>
      </w:r>
    </w:p>
    <w:p w:rsidR="005661C0" w:rsidRPr="000E0324" w:rsidRDefault="00855820" w:rsidP="00903CB0">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102.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подробно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выбывания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исключения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каждого такого субъекта в отдельном документе необходимо представить данные о концентрации и фармакокинетических параметрах, но не включать их в общий статистический анализ.</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Биоаналитическую методику необходимо документировать до начала исследования (предварительная валидация) для последующего формирования валидационного отчета. Необходимо представить биоаналитический отчет в составе итогового отчета исследования биоэквивалентности. Он должен включать краткое описание использованной биоаналитической методики, результаты по всем градуировочным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контроля качества.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количество хроматограмм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охватывающих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весь 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 (стандартов)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 (активных)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хроматограммы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первичные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 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соответствующими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для контроля качества и </w:t>
      </w:r>
      <w:r w:rsidRPr="000E0324">
        <w:rPr>
          <w:rFonts w:ascii="Times New Roman" w:eastAsia="Times New Roman" w:hAnsi="Times New Roman" w:cs="Times New Roman"/>
          <w:sz w:val="24"/>
          <w:szCs w:val="24"/>
          <w:lang w:val="ru-RU"/>
        </w:rPr>
        <w:lastRenderedPageBreak/>
        <w:t>градуировочными растворами/стандартами циклов, относящихся к указанным субъектам).</w:t>
      </w:r>
    </w:p>
    <w:p w:rsidR="005661C0" w:rsidRPr="000E0324" w:rsidRDefault="00855820" w:rsidP="00785F17">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103.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определенного лекарственного препарата проведено несколько исследований, часть из которых подтверждает его биоэквивалентность, а часть нет, всю совокупность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рассматривать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единое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расчет необходимо принимать только исследования, указанные в части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Наличие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подтверждающих биоэквивалентность,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поводом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рассматривать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Заявитель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 тщательно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проанализировать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наличие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альтернативы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дополнение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 отдельным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 обобщенного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Недопустимо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обобщать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подтверждающие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наличие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исследования, подтверждающие биоэквивалентность, отсутствуют.</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785F17">
      <w:pPr>
        <w:spacing w:after="0" w:line="240" w:lineRule="auto"/>
        <w:ind w:left="2817" w:right="2807"/>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 Лекарственные препараты</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узким терапевтическим диапазоном</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785F17">
      <w:pPr>
        <w:spacing w:after="0" w:line="355"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104. Допустимый интервал для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sz w:val="24"/>
          <w:szCs w:val="24"/>
          <w:lang w:val="ru-RU"/>
        </w:rPr>
        <w:t xml:space="preserve">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 с узким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терапевтическим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сузить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90,00-111,11 %. Поскольку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занимает особое место с точки зрения эффективности, безопасности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мониторинга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допустимый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сузить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90,00-111,11 %.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исчерпывающее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 препаратов с узким терапевтическим диапазоном невозможно, поэтому решение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отнесении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группе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 принимать,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особенностей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привлекая экспертов уполномоченных органов государств – членов Союза и (или) Экспертный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комитет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средствам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 экономической комиссии).</w:t>
      </w:r>
    </w:p>
    <w:p w:rsidR="005661C0" w:rsidRPr="000E0324" w:rsidRDefault="005661C0" w:rsidP="00903CB0">
      <w:pPr>
        <w:spacing w:before="6" w:after="0" w:line="220" w:lineRule="exact"/>
        <w:rPr>
          <w:rFonts w:ascii="Times New Roman" w:hAnsi="Times New Roman" w:cs="Times New Roman"/>
          <w:sz w:val="24"/>
          <w:szCs w:val="24"/>
          <w:lang w:val="ru-RU"/>
        </w:rPr>
      </w:pPr>
    </w:p>
    <w:p w:rsidR="005661C0" w:rsidRPr="000E0324" w:rsidRDefault="00855820" w:rsidP="00903CB0">
      <w:pPr>
        <w:spacing w:before="21" w:after="0" w:line="240" w:lineRule="auto"/>
        <w:ind w:left="1026"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 Лекарственные препараты с высокой вариабельностью</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105.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внутрииндивидуальная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вариабельность фармакокинетического параметра превышает 30 %, такие лекарственные препараты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признаются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заявитель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считает, 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обладать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высокой</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вариабельностью 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абсорбции,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 исследования с повторным (репликативным) перекрестным дизайном.</w:t>
      </w:r>
    </w:p>
    <w:p w:rsidR="005661C0" w:rsidRPr="000E0324" w:rsidRDefault="00855820" w:rsidP="00903CB0">
      <w:pPr>
        <w:spacing w:before="5" w:after="0" w:line="356" w:lineRule="auto"/>
        <w:ind w:left="102" w:right="3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106. Лекарственные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большее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считается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незначимым (подтвержденное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строгим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ее оценка может осуществляться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расширенных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случае критерий приемлемости для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может быть расширен до 69,84-143,19 %.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расширения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дизайн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подтвердить,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действительно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Заявитель должен доказать, что вычисленная внутрииндивидуальная вариабельность достоверна,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обусловлена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выбросами.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расширения допустимого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оговорить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протоколе исследования.</w:t>
      </w:r>
    </w:p>
    <w:p w:rsidR="005661C0" w:rsidRPr="000E0324" w:rsidRDefault="00855820" w:rsidP="00903CB0">
      <w:pPr>
        <w:spacing w:before="10" w:after="0" w:line="360"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107. Определение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расширения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 внутрииндивидуальной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результатам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масштабированием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i/>
          <w:sz w:val="24"/>
          <w:szCs w:val="24"/>
        </w:rPr>
        <w:t>scaled</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average</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bioequivalence</w:t>
      </w:r>
      <w:r w:rsidRPr="000E0324">
        <w:rPr>
          <w:rFonts w:ascii="Times New Roman" w:eastAsia="Times New Roman" w:hAnsi="Times New Roman" w:cs="Times New Roman"/>
          <w:sz w:val="24"/>
          <w:szCs w:val="24"/>
          <w:lang w:val="ru-RU"/>
        </w:rPr>
        <w:t>) согласно формуле:</w:t>
      </w:r>
    </w:p>
    <w:p w:rsidR="005661C0" w:rsidRPr="000E0324" w:rsidRDefault="005661C0" w:rsidP="00903CB0">
      <w:pPr>
        <w:spacing w:after="0" w:line="360" w:lineRule="auto"/>
        <w:jc w:val="both"/>
        <w:rPr>
          <w:rFonts w:ascii="Times New Roman" w:eastAsia="Times New Roman" w:hAnsi="Times New Roman" w:cs="Times New Roman"/>
          <w:sz w:val="24"/>
          <w:szCs w:val="24"/>
          <w:lang w:val="ru-RU"/>
        </w:rPr>
      </w:pPr>
    </w:p>
    <w:p w:rsidR="00785F17" w:rsidRPr="000E0324" w:rsidRDefault="00785F17" w:rsidP="00903CB0">
      <w:pPr>
        <w:spacing w:after="0" w:line="360" w:lineRule="auto"/>
        <w:jc w:val="both"/>
        <w:rPr>
          <w:rFonts w:ascii="Times New Roman" w:eastAsia="Times New Roman" w:hAnsi="Times New Roman" w:cs="Times New Roman"/>
          <w:sz w:val="24"/>
          <w:szCs w:val="24"/>
          <w:lang w:val="ru-RU"/>
        </w:rPr>
      </w:pPr>
      <w:r w:rsidRPr="000E0324">
        <w:rPr>
          <w:rFonts w:ascii="Times New Roman" w:eastAsia="Cambria Math" w:hAnsi="Times New Roman" w:cs="Times New Roman"/>
          <w:position w:val="40"/>
          <w:sz w:val="24"/>
          <w:szCs w:val="24"/>
          <w:lang w:val="ru-RU"/>
        </w:rPr>
        <w:t>[</w:t>
      </w:r>
      <w:r w:rsidRPr="000E0324">
        <w:rPr>
          <w:rFonts w:ascii="Times New Roman" w:eastAsia="Cambria Math" w:hAnsi="Times New Roman" w:cs="Times New Roman"/>
          <w:position w:val="39"/>
          <w:sz w:val="24"/>
          <w:szCs w:val="24"/>
        </w:rPr>
        <w:t>U</w:t>
      </w:r>
      <w:r w:rsidRPr="000E0324">
        <w:rPr>
          <w:rFonts w:ascii="Times New Roman" w:eastAsia="Cambria Math" w:hAnsi="Times New Roman" w:cs="Times New Roman"/>
          <w:position w:val="39"/>
          <w:sz w:val="24"/>
          <w:szCs w:val="24"/>
          <w:lang w:val="ru-RU"/>
        </w:rPr>
        <w:t xml:space="preserve">, </w:t>
      </w:r>
      <w:r w:rsidRPr="000E0324">
        <w:rPr>
          <w:rFonts w:ascii="Times New Roman" w:eastAsia="Cambria Math" w:hAnsi="Times New Roman" w:cs="Times New Roman"/>
          <w:position w:val="39"/>
          <w:sz w:val="24"/>
          <w:szCs w:val="24"/>
        </w:rPr>
        <w:t>L</w:t>
      </w:r>
      <w:r w:rsidRPr="000E0324">
        <w:rPr>
          <w:rFonts w:ascii="Times New Roman" w:eastAsia="Cambria Math" w:hAnsi="Times New Roman" w:cs="Times New Roman"/>
          <w:position w:val="40"/>
          <w:sz w:val="24"/>
          <w:szCs w:val="24"/>
          <w:lang w:val="ru-RU"/>
        </w:rPr>
        <w:t xml:space="preserve">] </w:t>
      </w:r>
      <w:r w:rsidRPr="000E0324">
        <w:rPr>
          <w:rFonts w:ascii="Times New Roman" w:eastAsia="Cambria Math" w:hAnsi="Times New Roman" w:cs="Times New Roman"/>
          <w:position w:val="39"/>
          <w:sz w:val="24"/>
          <w:szCs w:val="24"/>
          <w:lang w:val="ru-RU"/>
        </w:rPr>
        <w:t xml:space="preserve">= </w:t>
      </w:r>
      <w:r w:rsidRPr="000E0324">
        <w:rPr>
          <w:rFonts w:ascii="Times New Roman" w:eastAsia="Cambria Math" w:hAnsi="Times New Roman" w:cs="Times New Roman"/>
          <w:position w:val="39"/>
          <w:sz w:val="24"/>
          <w:szCs w:val="24"/>
        </w:rPr>
        <w:t>e</w:t>
      </w:r>
      <w:r w:rsidRPr="000E0324">
        <w:rPr>
          <w:rFonts w:ascii="Times New Roman" w:eastAsia="Cambria Math" w:hAnsi="Times New Roman" w:cs="Times New Roman"/>
          <w:position w:val="51"/>
          <w:sz w:val="24"/>
          <w:szCs w:val="24"/>
          <w:lang w:val="ru-RU"/>
        </w:rPr>
        <w:t>(</w:t>
      </w:r>
      <w:r w:rsidRPr="000E0324">
        <w:rPr>
          <w:rFonts w:ascii="Times New Roman" w:eastAsia="Cambria Math" w:hAnsi="Times New Roman" w:cs="Times New Roman"/>
          <w:position w:val="50"/>
          <w:sz w:val="24"/>
          <w:szCs w:val="24"/>
          <w:lang w:val="ru-RU"/>
        </w:rPr>
        <w:t>±</w:t>
      </w:r>
      <w:r w:rsidRPr="000E0324">
        <w:rPr>
          <w:rFonts w:ascii="Times New Roman" w:eastAsia="Cambria Math" w:hAnsi="Times New Roman" w:cs="Times New Roman"/>
          <w:position w:val="50"/>
          <w:sz w:val="24"/>
          <w:szCs w:val="24"/>
        </w:rPr>
        <w:t>k</w:t>
      </w:r>
      <w:r w:rsidRPr="000E0324">
        <w:rPr>
          <w:rFonts w:ascii="Times New Roman" w:eastAsia="Cambria Math" w:hAnsi="Times New Roman" w:cs="Times New Roman"/>
          <w:position w:val="50"/>
          <w:sz w:val="24"/>
          <w:szCs w:val="24"/>
          <w:lang w:val="ru-RU"/>
        </w:rPr>
        <w:t>×</w:t>
      </w:r>
      <w:r w:rsidRPr="000E0324">
        <w:rPr>
          <w:rFonts w:ascii="Times New Roman" w:eastAsia="Cambria Math" w:hAnsi="Times New Roman" w:cs="Times New Roman"/>
          <w:position w:val="50"/>
          <w:sz w:val="24"/>
          <w:szCs w:val="24"/>
        </w:rPr>
        <w:t>S</w:t>
      </w:r>
      <w:r w:rsidRPr="000E0324">
        <w:rPr>
          <w:rFonts w:ascii="Times New Roman" w:eastAsia="Cambria Math" w:hAnsi="Times New Roman" w:cs="Times New Roman"/>
          <w:position w:val="46"/>
          <w:sz w:val="24"/>
          <w:szCs w:val="24"/>
        </w:rPr>
        <w:t>WR</w:t>
      </w:r>
      <w:r w:rsidRPr="000E0324">
        <w:rPr>
          <w:rFonts w:ascii="Times New Roman" w:eastAsia="Cambria Math" w:hAnsi="Times New Roman" w:cs="Times New Roman"/>
          <w:position w:val="51"/>
          <w:sz w:val="24"/>
          <w:szCs w:val="24"/>
          <w:lang w:val="ru-RU"/>
        </w:rPr>
        <w:t>)</w:t>
      </w:r>
      <w:r w:rsidRPr="000E0324">
        <w:rPr>
          <w:rFonts w:ascii="Times New Roman" w:eastAsia="Cambria Math" w:hAnsi="Times New Roman" w:cs="Times New Roman"/>
          <w:position w:val="39"/>
          <w:sz w:val="24"/>
          <w:szCs w:val="24"/>
          <w:lang w:val="ru-RU"/>
        </w:rPr>
        <w:t>,</w:t>
      </w:r>
    </w:p>
    <w:p w:rsidR="00785F17" w:rsidRPr="000E0324" w:rsidRDefault="00785F17" w:rsidP="00903CB0">
      <w:pPr>
        <w:spacing w:after="0" w:line="360" w:lineRule="auto"/>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position w:val="-1"/>
          <w:sz w:val="24"/>
          <w:szCs w:val="24"/>
          <w:lang w:val="ru-RU"/>
        </w:rPr>
        <w:t>где:</w:t>
      </w:r>
    </w:p>
    <w:p w:rsidR="00785F17" w:rsidRPr="000E0324" w:rsidRDefault="00855820" w:rsidP="00903CB0">
      <w:pPr>
        <w:spacing w:before="21" w:after="0" w:line="359" w:lineRule="auto"/>
        <w:ind w:left="870" w:right="2730"/>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U</w:t>
      </w:r>
      <w:r w:rsidRPr="000E0324">
        <w:rPr>
          <w:rFonts w:ascii="Times New Roman" w:eastAsia="Times New Roman" w:hAnsi="Times New Roman" w:cs="Times New Roman"/>
          <w:sz w:val="24"/>
          <w:szCs w:val="24"/>
          <w:lang w:val="ru-RU"/>
        </w:rPr>
        <w:t xml:space="preserve"> – </w:t>
      </w:r>
      <w:proofErr w:type="gramStart"/>
      <w:r w:rsidRPr="000E0324">
        <w:rPr>
          <w:rFonts w:ascii="Times New Roman" w:eastAsia="Times New Roman" w:hAnsi="Times New Roman" w:cs="Times New Roman"/>
          <w:sz w:val="24"/>
          <w:szCs w:val="24"/>
          <w:lang w:val="ru-RU"/>
        </w:rPr>
        <w:t>верхняя</w:t>
      </w:r>
      <w:proofErr w:type="gramEnd"/>
      <w:r w:rsidRPr="000E0324">
        <w:rPr>
          <w:rFonts w:ascii="Times New Roman" w:eastAsia="Times New Roman" w:hAnsi="Times New Roman" w:cs="Times New Roman"/>
          <w:sz w:val="24"/>
          <w:szCs w:val="24"/>
          <w:lang w:val="ru-RU"/>
        </w:rPr>
        <w:t xml:space="preserve"> граница интервала приемлемости; </w:t>
      </w:r>
    </w:p>
    <w:p w:rsidR="00785F17" w:rsidRPr="000E0324" w:rsidRDefault="00855820" w:rsidP="00903CB0">
      <w:pPr>
        <w:spacing w:before="21" w:after="0" w:line="359" w:lineRule="auto"/>
        <w:ind w:left="870" w:right="2730"/>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L</w:t>
      </w:r>
      <w:r w:rsidRPr="000E0324">
        <w:rPr>
          <w:rFonts w:ascii="Times New Roman" w:eastAsia="Times New Roman" w:hAnsi="Times New Roman" w:cs="Times New Roman"/>
          <w:sz w:val="24"/>
          <w:szCs w:val="24"/>
          <w:lang w:val="ru-RU"/>
        </w:rPr>
        <w:t xml:space="preserve"> – </w:t>
      </w:r>
      <w:proofErr w:type="gramStart"/>
      <w:r w:rsidRPr="000E0324">
        <w:rPr>
          <w:rFonts w:ascii="Times New Roman" w:eastAsia="Times New Roman" w:hAnsi="Times New Roman" w:cs="Times New Roman"/>
          <w:sz w:val="24"/>
          <w:szCs w:val="24"/>
          <w:lang w:val="ru-RU"/>
        </w:rPr>
        <w:t>нижняя</w:t>
      </w:r>
      <w:proofErr w:type="gramEnd"/>
      <w:r w:rsidRPr="000E0324">
        <w:rPr>
          <w:rFonts w:ascii="Times New Roman" w:eastAsia="Times New Roman" w:hAnsi="Times New Roman" w:cs="Times New Roman"/>
          <w:sz w:val="24"/>
          <w:szCs w:val="24"/>
          <w:lang w:val="ru-RU"/>
        </w:rPr>
        <w:t xml:space="preserve"> граница интервала приемлемости; </w:t>
      </w:r>
    </w:p>
    <w:p w:rsidR="005661C0" w:rsidRPr="000E0324" w:rsidRDefault="00855820" w:rsidP="00903CB0">
      <w:pPr>
        <w:spacing w:before="21" w:after="0" w:line="359" w:lineRule="auto"/>
        <w:ind w:left="870" w:right="2730"/>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k</w:t>
      </w:r>
      <w:r w:rsidRPr="000E0324">
        <w:rPr>
          <w:rFonts w:ascii="Times New Roman" w:eastAsia="Times New Roman" w:hAnsi="Times New Roman" w:cs="Times New Roman"/>
          <w:sz w:val="24"/>
          <w:szCs w:val="24"/>
          <w:lang w:val="ru-RU"/>
        </w:rPr>
        <w:t xml:space="preserve"> – </w:t>
      </w:r>
      <w:proofErr w:type="gramStart"/>
      <w:r w:rsidRPr="000E0324">
        <w:rPr>
          <w:rFonts w:ascii="Times New Roman" w:eastAsia="Times New Roman" w:hAnsi="Times New Roman" w:cs="Times New Roman"/>
          <w:sz w:val="24"/>
          <w:szCs w:val="24"/>
          <w:lang w:val="ru-RU"/>
        </w:rPr>
        <w:t>регуляторная</w:t>
      </w:r>
      <w:proofErr w:type="gramEnd"/>
      <w:r w:rsidRPr="000E0324">
        <w:rPr>
          <w:rFonts w:ascii="Times New Roman" w:eastAsia="Times New Roman" w:hAnsi="Times New Roman" w:cs="Times New Roman"/>
          <w:sz w:val="24"/>
          <w:szCs w:val="24"/>
          <w:lang w:val="ru-RU"/>
        </w:rPr>
        <w:t xml:space="preserve"> константа, принятая за 0,760;</w:t>
      </w:r>
    </w:p>
    <w:p w:rsidR="005661C0" w:rsidRPr="000E0324" w:rsidRDefault="00855820" w:rsidP="00903CB0">
      <w:pPr>
        <w:spacing w:before="7" w:after="0" w:line="343" w:lineRule="auto"/>
        <w:ind w:left="162" w:right="74" w:firstLine="708"/>
        <w:jc w:val="both"/>
        <w:rPr>
          <w:rFonts w:ascii="Times New Roman" w:eastAsia="Times New Roman" w:hAnsi="Times New Roman" w:cs="Times New Roman"/>
          <w:sz w:val="24"/>
          <w:szCs w:val="24"/>
          <w:lang w:val="ru-RU"/>
        </w:rPr>
      </w:pPr>
      <w:proofErr w:type="gramStart"/>
      <w:r w:rsidRPr="000E0324">
        <w:rPr>
          <w:rFonts w:ascii="Times New Roman" w:eastAsia="Times New Roman" w:hAnsi="Times New Roman" w:cs="Times New Roman"/>
          <w:sz w:val="24"/>
          <w:szCs w:val="24"/>
        </w:rPr>
        <w:t>S</w:t>
      </w:r>
      <w:r w:rsidRPr="000E0324">
        <w:rPr>
          <w:rFonts w:ascii="Times New Roman" w:eastAsia="Times New Roman" w:hAnsi="Times New Roman" w:cs="Times New Roman"/>
          <w:position w:val="-4"/>
          <w:sz w:val="24"/>
          <w:szCs w:val="24"/>
        </w:rPr>
        <w:t>WR</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 внутрииндивидуальное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отклонение логарифмически преобразованных значений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 сравнения.</w:t>
      </w:r>
      <w:proofErr w:type="gramEnd"/>
    </w:p>
    <w:p w:rsidR="005661C0" w:rsidRPr="000E0324" w:rsidRDefault="00855820" w:rsidP="00785F17">
      <w:pPr>
        <w:spacing w:before="30" w:after="0" w:line="360" w:lineRule="auto"/>
        <w:ind w:left="162" w:right="7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108.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приведенной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таблице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интервалов признания биоэквивалентности, рассчитанные на основании описанной в пункте 107 настоящих Правил методологии в зависимости от различной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параметров</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position w:val="-1"/>
          <w:sz w:val="24"/>
          <w:szCs w:val="24"/>
          <w:lang w:val="ru-RU"/>
        </w:rPr>
        <w:t>лекарственного препарата.</w:t>
      </w:r>
    </w:p>
    <w:p w:rsidR="005661C0" w:rsidRPr="000E0324" w:rsidRDefault="005661C0" w:rsidP="00903CB0">
      <w:pPr>
        <w:spacing w:before="9" w:after="0" w:line="190" w:lineRule="exact"/>
        <w:rPr>
          <w:rFonts w:ascii="Times New Roman" w:hAnsi="Times New Roman" w:cs="Times New Roman"/>
          <w:sz w:val="24"/>
          <w:szCs w:val="24"/>
          <w:lang w:val="ru-RU"/>
        </w:rPr>
      </w:pPr>
    </w:p>
    <w:tbl>
      <w:tblPr>
        <w:tblW w:w="0" w:type="auto"/>
        <w:tblInd w:w="105" w:type="dxa"/>
        <w:tblLayout w:type="fixed"/>
        <w:tblCellMar>
          <w:left w:w="0" w:type="dxa"/>
          <w:right w:w="0" w:type="dxa"/>
        </w:tblCellMar>
        <w:tblLook w:val="01E0" w:firstRow="1" w:lastRow="1" w:firstColumn="1" w:lastColumn="1" w:noHBand="0" w:noVBand="0"/>
      </w:tblPr>
      <w:tblGrid>
        <w:gridCol w:w="4445"/>
        <w:gridCol w:w="2410"/>
        <w:gridCol w:w="2599"/>
      </w:tblGrid>
      <w:tr w:rsidR="005661C0" w:rsidRPr="000E0324" w:rsidTr="00903CB0">
        <w:tc>
          <w:tcPr>
            <w:tcW w:w="4445" w:type="dxa"/>
            <w:tcBorders>
              <w:top w:val="single" w:sz="4" w:space="0" w:color="000000"/>
              <w:left w:val="single" w:sz="4" w:space="0" w:color="000000"/>
              <w:bottom w:val="single" w:sz="4" w:space="0" w:color="000000"/>
              <w:right w:val="single" w:sz="4" w:space="0" w:color="000000"/>
            </w:tcBorders>
          </w:tcPr>
          <w:p w:rsidR="005661C0" w:rsidRPr="000E0324" w:rsidRDefault="00855820" w:rsidP="00903CB0">
            <w:pPr>
              <w:spacing w:after="0" w:line="267" w:lineRule="exact"/>
              <w:ind w:left="551" w:right="-20"/>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 xml:space="preserve">Внутрииндивидуальный CV </w:t>
            </w:r>
            <w:proofErr w:type="gramStart"/>
            <w:r w:rsidRPr="000E0324">
              <w:rPr>
                <w:rFonts w:ascii="Times New Roman" w:eastAsia="Times New Roman" w:hAnsi="Times New Roman" w:cs="Times New Roman"/>
                <w:sz w:val="24"/>
                <w:szCs w:val="24"/>
              </w:rPr>
              <w:t>( %</w:t>
            </w:r>
            <w:proofErr w:type="gramEnd"/>
            <w:r w:rsidRPr="000E0324">
              <w:rPr>
                <w:rFonts w:ascii="Times New Roman" w:eastAsia="Times New Roman" w:hAnsi="Times New Roman" w:cs="Times New Roman"/>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5661C0" w:rsidRPr="000E0324" w:rsidRDefault="00855820" w:rsidP="00903CB0">
            <w:pPr>
              <w:spacing w:after="0" w:line="267" w:lineRule="exact"/>
              <w:ind w:left="352" w:right="-20"/>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Нижняя граница</w:t>
            </w:r>
          </w:p>
        </w:tc>
        <w:tc>
          <w:tcPr>
            <w:tcW w:w="2599" w:type="dxa"/>
            <w:tcBorders>
              <w:top w:val="single" w:sz="4" w:space="0" w:color="000000"/>
              <w:left w:val="single" w:sz="4" w:space="0" w:color="000000"/>
              <w:bottom w:val="single" w:sz="4" w:space="0" w:color="000000"/>
              <w:right w:val="single" w:sz="4" w:space="0" w:color="000000"/>
            </w:tcBorders>
          </w:tcPr>
          <w:p w:rsidR="005661C0" w:rsidRPr="000E0324" w:rsidRDefault="00855820" w:rsidP="00903CB0">
            <w:pPr>
              <w:spacing w:after="0" w:line="267" w:lineRule="exact"/>
              <w:ind w:left="426" w:right="-20"/>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Верхняя граница</w:t>
            </w:r>
          </w:p>
        </w:tc>
      </w:tr>
      <w:tr w:rsidR="005661C0" w:rsidRPr="000E0324" w:rsidTr="00903CB0">
        <w:tc>
          <w:tcPr>
            <w:tcW w:w="4445" w:type="dxa"/>
            <w:tcBorders>
              <w:top w:val="single" w:sz="4" w:space="0" w:color="000000"/>
              <w:left w:val="nil"/>
              <w:bottom w:val="nil"/>
              <w:right w:val="nil"/>
            </w:tcBorders>
          </w:tcPr>
          <w:p w:rsidR="005661C0" w:rsidRPr="000E0324" w:rsidRDefault="00855820" w:rsidP="00903CB0">
            <w:pPr>
              <w:spacing w:after="0" w:line="267" w:lineRule="exact"/>
              <w:ind w:left="2062" w:right="2047"/>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30</w:t>
            </w:r>
          </w:p>
        </w:tc>
        <w:tc>
          <w:tcPr>
            <w:tcW w:w="2410" w:type="dxa"/>
            <w:tcBorders>
              <w:top w:val="single" w:sz="4" w:space="0" w:color="000000"/>
              <w:left w:val="nil"/>
              <w:bottom w:val="nil"/>
              <w:right w:val="nil"/>
            </w:tcBorders>
          </w:tcPr>
          <w:p w:rsidR="005661C0" w:rsidRPr="000E0324" w:rsidRDefault="00855820" w:rsidP="00903CB0">
            <w:pPr>
              <w:spacing w:after="0" w:line="267" w:lineRule="exact"/>
              <w:ind w:left="896" w:right="878"/>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80,00</w:t>
            </w:r>
          </w:p>
        </w:tc>
        <w:tc>
          <w:tcPr>
            <w:tcW w:w="2599" w:type="dxa"/>
            <w:tcBorders>
              <w:top w:val="single" w:sz="4" w:space="0" w:color="000000"/>
              <w:left w:val="nil"/>
              <w:bottom w:val="nil"/>
              <w:right w:val="nil"/>
            </w:tcBorders>
          </w:tcPr>
          <w:p w:rsidR="005661C0" w:rsidRPr="000E0324" w:rsidRDefault="00855820" w:rsidP="00903CB0">
            <w:pPr>
              <w:spacing w:after="0" w:line="267" w:lineRule="exact"/>
              <w:ind w:left="932" w:right="912"/>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125,00</w:t>
            </w:r>
          </w:p>
        </w:tc>
      </w:tr>
      <w:tr w:rsidR="005661C0" w:rsidRPr="000E0324" w:rsidTr="00903CB0">
        <w:tc>
          <w:tcPr>
            <w:tcW w:w="4445" w:type="dxa"/>
            <w:tcBorders>
              <w:top w:val="nil"/>
              <w:left w:val="nil"/>
              <w:bottom w:val="nil"/>
              <w:right w:val="nil"/>
            </w:tcBorders>
          </w:tcPr>
          <w:p w:rsidR="005661C0" w:rsidRPr="000E0324" w:rsidRDefault="00855820" w:rsidP="00903CB0">
            <w:pPr>
              <w:spacing w:before="14" w:after="0" w:line="240" w:lineRule="auto"/>
              <w:ind w:left="2062" w:right="2047"/>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35</w:t>
            </w:r>
          </w:p>
        </w:tc>
        <w:tc>
          <w:tcPr>
            <w:tcW w:w="2410" w:type="dxa"/>
            <w:tcBorders>
              <w:top w:val="nil"/>
              <w:left w:val="nil"/>
              <w:bottom w:val="nil"/>
              <w:right w:val="nil"/>
            </w:tcBorders>
          </w:tcPr>
          <w:p w:rsidR="005661C0" w:rsidRPr="000E0324" w:rsidRDefault="00855820" w:rsidP="00903CB0">
            <w:pPr>
              <w:spacing w:before="14" w:after="0" w:line="240" w:lineRule="auto"/>
              <w:ind w:left="896" w:right="878"/>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77,23</w:t>
            </w:r>
          </w:p>
        </w:tc>
        <w:tc>
          <w:tcPr>
            <w:tcW w:w="2599" w:type="dxa"/>
            <w:tcBorders>
              <w:top w:val="nil"/>
              <w:left w:val="nil"/>
              <w:bottom w:val="nil"/>
              <w:right w:val="nil"/>
            </w:tcBorders>
          </w:tcPr>
          <w:p w:rsidR="005661C0" w:rsidRPr="000E0324" w:rsidRDefault="00855820" w:rsidP="00903CB0">
            <w:pPr>
              <w:spacing w:before="14" w:after="0" w:line="240" w:lineRule="auto"/>
              <w:ind w:left="932" w:right="912"/>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129,48</w:t>
            </w:r>
          </w:p>
        </w:tc>
      </w:tr>
      <w:tr w:rsidR="005661C0" w:rsidRPr="000E0324" w:rsidTr="00903CB0">
        <w:tc>
          <w:tcPr>
            <w:tcW w:w="4445" w:type="dxa"/>
            <w:tcBorders>
              <w:top w:val="nil"/>
              <w:left w:val="nil"/>
              <w:bottom w:val="nil"/>
              <w:right w:val="nil"/>
            </w:tcBorders>
          </w:tcPr>
          <w:p w:rsidR="005661C0" w:rsidRPr="000E0324" w:rsidRDefault="00855820" w:rsidP="00903CB0">
            <w:pPr>
              <w:spacing w:before="14" w:after="0" w:line="240" w:lineRule="auto"/>
              <w:ind w:left="2062" w:right="2047"/>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40</w:t>
            </w:r>
          </w:p>
        </w:tc>
        <w:tc>
          <w:tcPr>
            <w:tcW w:w="2410" w:type="dxa"/>
            <w:tcBorders>
              <w:top w:val="nil"/>
              <w:left w:val="nil"/>
              <w:bottom w:val="nil"/>
              <w:right w:val="nil"/>
            </w:tcBorders>
          </w:tcPr>
          <w:p w:rsidR="005661C0" w:rsidRPr="000E0324" w:rsidRDefault="00855820" w:rsidP="00903CB0">
            <w:pPr>
              <w:spacing w:before="14" w:after="0" w:line="240" w:lineRule="auto"/>
              <w:ind w:left="896" w:right="878"/>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74,62</w:t>
            </w:r>
          </w:p>
        </w:tc>
        <w:tc>
          <w:tcPr>
            <w:tcW w:w="2599" w:type="dxa"/>
            <w:tcBorders>
              <w:top w:val="nil"/>
              <w:left w:val="nil"/>
              <w:bottom w:val="nil"/>
              <w:right w:val="nil"/>
            </w:tcBorders>
          </w:tcPr>
          <w:p w:rsidR="005661C0" w:rsidRPr="000E0324" w:rsidRDefault="00855820" w:rsidP="00903CB0">
            <w:pPr>
              <w:spacing w:before="14" w:after="0" w:line="240" w:lineRule="auto"/>
              <w:ind w:left="932" w:right="912"/>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134,02</w:t>
            </w:r>
          </w:p>
        </w:tc>
      </w:tr>
      <w:tr w:rsidR="005661C0" w:rsidRPr="000E0324" w:rsidTr="00903CB0">
        <w:tc>
          <w:tcPr>
            <w:tcW w:w="4445" w:type="dxa"/>
            <w:tcBorders>
              <w:top w:val="nil"/>
              <w:left w:val="nil"/>
              <w:bottom w:val="nil"/>
              <w:right w:val="nil"/>
            </w:tcBorders>
          </w:tcPr>
          <w:p w:rsidR="005661C0" w:rsidRPr="000E0324" w:rsidRDefault="00855820" w:rsidP="00903CB0">
            <w:pPr>
              <w:spacing w:before="14" w:after="0" w:line="240" w:lineRule="auto"/>
              <w:ind w:left="2062" w:right="2047"/>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45</w:t>
            </w:r>
          </w:p>
        </w:tc>
        <w:tc>
          <w:tcPr>
            <w:tcW w:w="2410" w:type="dxa"/>
            <w:tcBorders>
              <w:top w:val="nil"/>
              <w:left w:val="nil"/>
              <w:bottom w:val="nil"/>
              <w:right w:val="nil"/>
            </w:tcBorders>
          </w:tcPr>
          <w:p w:rsidR="005661C0" w:rsidRPr="000E0324" w:rsidRDefault="00855820" w:rsidP="00903CB0">
            <w:pPr>
              <w:spacing w:before="14" w:after="0" w:line="240" w:lineRule="auto"/>
              <w:ind w:left="896" w:right="878"/>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72,15</w:t>
            </w:r>
          </w:p>
        </w:tc>
        <w:tc>
          <w:tcPr>
            <w:tcW w:w="2599" w:type="dxa"/>
            <w:tcBorders>
              <w:top w:val="nil"/>
              <w:left w:val="nil"/>
              <w:bottom w:val="nil"/>
              <w:right w:val="nil"/>
            </w:tcBorders>
          </w:tcPr>
          <w:p w:rsidR="005661C0" w:rsidRPr="000E0324" w:rsidRDefault="00855820" w:rsidP="00903CB0">
            <w:pPr>
              <w:spacing w:before="14" w:after="0" w:line="240" w:lineRule="auto"/>
              <w:ind w:left="932" w:right="912"/>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138,59</w:t>
            </w:r>
          </w:p>
        </w:tc>
      </w:tr>
      <w:tr w:rsidR="005661C0" w:rsidRPr="000E0324" w:rsidTr="00903CB0">
        <w:tc>
          <w:tcPr>
            <w:tcW w:w="4445" w:type="dxa"/>
            <w:tcBorders>
              <w:top w:val="nil"/>
              <w:left w:val="nil"/>
              <w:bottom w:val="nil"/>
              <w:right w:val="nil"/>
            </w:tcBorders>
          </w:tcPr>
          <w:p w:rsidR="005661C0" w:rsidRPr="000E0324" w:rsidRDefault="00855820" w:rsidP="00903CB0">
            <w:pPr>
              <w:spacing w:before="14" w:after="0" w:line="240" w:lineRule="auto"/>
              <w:ind w:left="1997" w:right="1980"/>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≥50</w:t>
            </w:r>
          </w:p>
        </w:tc>
        <w:tc>
          <w:tcPr>
            <w:tcW w:w="2410" w:type="dxa"/>
            <w:tcBorders>
              <w:top w:val="nil"/>
              <w:left w:val="nil"/>
              <w:bottom w:val="nil"/>
              <w:right w:val="nil"/>
            </w:tcBorders>
          </w:tcPr>
          <w:p w:rsidR="005661C0" w:rsidRPr="000E0324" w:rsidRDefault="00855820" w:rsidP="00903CB0">
            <w:pPr>
              <w:spacing w:before="14" w:after="0" w:line="240" w:lineRule="auto"/>
              <w:ind w:left="896" w:right="878"/>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69,84</w:t>
            </w:r>
          </w:p>
        </w:tc>
        <w:tc>
          <w:tcPr>
            <w:tcW w:w="2599" w:type="dxa"/>
            <w:tcBorders>
              <w:top w:val="nil"/>
              <w:left w:val="nil"/>
              <w:bottom w:val="nil"/>
              <w:right w:val="nil"/>
            </w:tcBorders>
          </w:tcPr>
          <w:p w:rsidR="005661C0" w:rsidRPr="000E0324" w:rsidRDefault="00855820" w:rsidP="00903CB0">
            <w:pPr>
              <w:spacing w:before="14" w:after="0" w:line="240" w:lineRule="auto"/>
              <w:ind w:left="932" w:right="912"/>
              <w:jc w:val="center"/>
              <w:rPr>
                <w:rFonts w:ascii="Times New Roman" w:eastAsia="Times New Roman" w:hAnsi="Times New Roman" w:cs="Times New Roman"/>
                <w:sz w:val="24"/>
                <w:szCs w:val="24"/>
              </w:rPr>
            </w:pPr>
            <w:r w:rsidRPr="000E0324">
              <w:rPr>
                <w:rFonts w:ascii="Times New Roman" w:eastAsia="Times New Roman" w:hAnsi="Times New Roman" w:cs="Times New Roman"/>
                <w:sz w:val="24"/>
                <w:szCs w:val="24"/>
              </w:rPr>
              <w:t>143,19</w:t>
            </w:r>
          </w:p>
        </w:tc>
      </w:tr>
    </w:tbl>
    <w:p w:rsidR="005661C0" w:rsidRPr="000E0324" w:rsidRDefault="002A2D1C" w:rsidP="00903CB0">
      <w:pPr>
        <w:spacing w:after="0" w:line="310" w:lineRule="exact"/>
        <w:ind w:left="162" w:right="-20"/>
        <w:rPr>
          <w:rFonts w:ascii="Times New Roman" w:eastAsia="Cambria Math"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64" type="#_x0000_t202" style="position:absolute;left:0;text-align:left;margin-left:253.45pt;margin-top:.05pt;width:4.15pt;height:6.95pt;z-index:-251658752;mso-position-horizontal-relative:page;mso-position-vertical-relative:text" filled="f" stroked="f">
            <v:textbox style="mso-next-textbox:#_x0000_s1064" inset="0,0,0,0">
              <w:txbxContent>
                <w:p w:rsidR="000E0324" w:rsidRDefault="000E0324">
                  <w:pPr>
                    <w:spacing w:after="0" w:line="139" w:lineRule="exact"/>
                    <w:ind w:right="-61"/>
                    <w:rPr>
                      <w:rFonts w:ascii="Cambria Math" w:eastAsia="Cambria Math" w:hAnsi="Cambria Math" w:cs="Cambria Math"/>
                      <w:sz w:val="14"/>
                      <w:szCs w:val="14"/>
                    </w:rPr>
                  </w:pPr>
                  <w:r>
                    <w:rPr>
                      <w:rFonts w:ascii="Cambria Math" w:eastAsia="Cambria Math" w:hAnsi="Cambria Math" w:cs="Cambria Math"/>
                      <w:sz w:val="14"/>
                      <w:szCs w:val="14"/>
                    </w:rPr>
                    <w:t>2</w:t>
                  </w:r>
                </w:p>
              </w:txbxContent>
            </v:textbox>
            <w10:wrap anchorx="page"/>
          </v:shape>
        </w:pict>
      </w:r>
      <w:r w:rsidR="00855820" w:rsidRPr="000E0324">
        <w:rPr>
          <w:rFonts w:ascii="Times New Roman" w:eastAsia="Times New Roman" w:hAnsi="Times New Roman" w:cs="Times New Roman"/>
          <w:position w:val="-2"/>
          <w:sz w:val="24"/>
          <w:szCs w:val="24"/>
        </w:rPr>
        <w:t xml:space="preserve">Примечание: * </w:t>
      </w:r>
      <w:proofErr w:type="gramStart"/>
      <w:r w:rsidR="00855820" w:rsidRPr="000E0324">
        <w:rPr>
          <w:rFonts w:ascii="Times New Roman" w:eastAsia="Cambria Math" w:hAnsi="Times New Roman" w:cs="Times New Roman"/>
          <w:position w:val="-2"/>
          <w:sz w:val="24"/>
          <w:szCs w:val="24"/>
        </w:rPr>
        <w:t>CV</w:t>
      </w:r>
      <w:r w:rsidR="00855820" w:rsidRPr="000E0324">
        <w:rPr>
          <w:rFonts w:ascii="Times New Roman" w:eastAsia="Cambria Math" w:hAnsi="Times New Roman" w:cs="Times New Roman"/>
          <w:position w:val="-1"/>
          <w:sz w:val="24"/>
          <w:szCs w:val="24"/>
        </w:rPr>
        <w:t>(</w:t>
      </w:r>
      <w:proofErr w:type="gramEnd"/>
      <w:r w:rsidR="00855820" w:rsidRPr="000E0324">
        <w:rPr>
          <w:rFonts w:ascii="Times New Roman" w:eastAsia="Cambria Math" w:hAnsi="Times New Roman" w:cs="Times New Roman"/>
          <w:position w:val="-2"/>
          <w:sz w:val="24"/>
          <w:szCs w:val="24"/>
        </w:rPr>
        <w:t>%</w:t>
      </w:r>
      <w:r w:rsidR="00855820" w:rsidRPr="000E0324">
        <w:rPr>
          <w:rFonts w:ascii="Times New Roman" w:eastAsia="Cambria Math" w:hAnsi="Times New Roman" w:cs="Times New Roman"/>
          <w:position w:val="-1"/>
          <w:sz w:val="24"/>
          <w:szCs w:val="24"/>
        </w:rPr>
        <w:t xml:space="preserve">) </w:t>
      </w:r>
      <w:r w:rsidR="00855820" w:rsidRPr="000E0324">
        <w:rPr>
          <w:rFonts w:ascii="Times New Roman" w:eastAsia="Cambria Math" w:hAnsi="Times New Roman" w:cs="Times New Roman"/>
          <w:position w:val="-2"/>
          <w:sz w:val="24"/>
          <w:szCs w:val="24"/>
        </w:rPr>
        <w:t>= 100</w:t>
      </w:r>
      <w:r w:rsidR="00855820" w:rsidRPr="000E0324">
        <w:rPr>
          <w:rFonts w:ascii="Tahoma" w:eastAsia="Cambria Math" w:hAnsi="Tahoma" w:cs="Tahoma"/>
          <w:position w:val="4"/>
          <w:sz w:val="24"/>
          <w:szCs w:val="24"/>
        </w:rPr>
        <w:t>�</w:t>
      </w:r>
      <w:r w:rsidR="00855820" w:rsidRPr="000E0324">
        <w:rPr>
          <w:rFonts w:ascii="Times New Roman" w:eastAsia="Cambria Math" w:hAnsi="Times New Roman" w:cs="Times New Roman"/>
          <w:position w:val="-2"/>
          <w:sz w:val="24"/>
          <w:szCs w:val="24"/>
        </w:rPr>
        <w:t>e</w:t>
      </w:r>
      <w:r w:rsidR="00855820" w:rsidRPr="000E0324">
        <w:rPr>
          <w:rFonts w:ascii="Times New Roman" w:eastAsia="Cambria Math" w:hAnsi="Times New Roman" w:cs="Times New Roman"/>
          <w:position w:val="7"/>
          <w:sz w:val="24"/>
          <w:szCs w:val="24"/>
        </w:rPr>
        <w:t>S</w:t>
      </w:r>
      <w:r w:rsidR="00855820" w:rsidRPr="000E0324">
        <w:rPr>
          <w:rFonts w:ascii="Times New Roman" w:eastAsia="Cambria Math" w:hAnsi="Times New Roman" w:cs="Times New Roman"/>
          <w:position w:val="2"/>
          <w:sz w:val="24"/>
          <w:szCs w:val="24"/>
        </w:rPr>
        <w:t>WR</w:t>
      </w:r>
      <w:r w:rsidR="00855820" w:rsidRPr="000E0324">
        <w:rPr>
          <w:rFonts w:ascii="Times New Roman" w:eastAsia="Cambria Math" w:hAnsi="Times New Roman" w:cs="Times New Roman"/>
          <w:spacing w:val="29"/>
          <w:position w:val="2"/>
          <w:sz w:val="24"/>
          <w:szCs w:val="24"/>
        </w:rPr>
        <w:t xml:space="preserve"> </w:t>
      </w:r>
      <w:r w:rsidR="00855820" w:rsidRPr="000E0324">
        <w:rPr>
          <w:rFonts w:ascii="Times New Roman" w:eastAsia="Cambria Math" w:hAnsi="Times New Roman" w:cs="Times New Roman"/>
          <w:position w:val="-2"/>
          <w:sz w:val="24"/>
          <w:szCs w:val="24"/>
        </w:rPr>
        <w:t>− 1</w:t>
      </w:r>
    </w:p>
    <w:p w:rsidR="005661C0" w:rsidRPr="000E0324" w:rsidRDefault="005661C0" w:rsidP="00903CB0">
      <w:pPr>
        <w:spacing w:before="5" w:after="0" w:line="240" w:lineRule="exact"/>
        <w:rPr>
          <w:rFonts w:ascii="Times New Roman" w:hAnsi="Times New Roman" w:cs="Times New Roman"/>
          <w:sz w:val="24"/>
          <w:szCs w:val="24"/>
        </w:rPr>
      </w:pPr>
    </w:p>
    <w:p w:rsidR="005661C0" w:rsidRPr="000E0324" w:rsidRDefault="00855820" w:rsidP="00903CB0">
      <w:pPr>
        <w:spacing w:before="21" w:after="0" w:line="359" w:lineRule="auto"/>
        <w:ind w:left="162" w:right="8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109. Отношение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геометрических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 параметров должно находиться в пределах 80,00-125,00 %.</w:t>
      </w:r>
    </w:p>
    <w:p w:rsidR="005661C0" w:rsidRPr="000E0324" w:rsidRDefault="00855820" w:rsidP="00903CB0">
      <w:pPr>
        <w:spacing w:before="8" w:after="0" w:line="360" w:lineRule="auto"/>
        <w:ind w:left="162" w:right="7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Расширение приемлемых границ биодоступности на основании внутрииндивидуальной вариабельности не распространяется на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sz w:val="24"/>
          <w:szCs w:val="24"/>
          <w:lang w:val="ru-RU"/>
        </w:rPr>
        <w:t>, границы которой вне зависимости от вариабельности должны быть ограничены интервалом 80,00-125,00 %.</w:t>
      </w:r>
    </w:p>
    <w:p w:rsidR="005661C0" w:rsidRPr="000E0324" w:rsidRDefault="00855820" w:rsidP="00903CB0">
      <w:pPr>
        <w:spacing w:before="5" w:after="0" w:line="360" w:lineRule="auto"/>
        <w:ind w:left="162" w:right="7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110.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дизайне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периодную перекрестную схему исследования.</w:t>
      </w:r>
    </w:p>
    <w:p w:rsidR="005661C0" w:rsidRPr="000E0324" w:rsidRDefault="005661C0" w:rsidP="00903CB0">
      <w:pPr>
        <w:spacing w:before="6" w:after="0" w:line="220" w:lineRule="exact"/>
        <w:rPr>
          <w:rFonts w:ascii="Times New Roman" w:hAnsi="Times New Roman" w:cs="Times New Roman"/>
          <w:sz w:val="24"/>
          <w:szCs w:val="24"/>
          <w:lang w:val="ru-RU"/>
        </w:rPr>
      </w:pPr>
    </w:p>
    <w:p w:rsidR="005661C0" w:rsidRPr="000E0324" w:rsidRDefault="00855820" w:rsidP="00903CB0">
      <w:pPr>
        <w:spacing w:before="21" w:after="0" w:line="240" w:lineRule="auto"/>
        <w:ind w:left="1328"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IV</w:t>
      </w:r>
      <w:r w:rsidRPr="000E0324">
        <w:rPr>
          <w:rFonts w:ascii="Times New Roman" w:eastAsia="Times New Roman" w:hAnsi="Times New Roman" w:cs="Times New Roman"/>
          <w:sz w:val="24"/>
          <w:szCs w:val="24"/>
          <w:lang w:val="ru-RU"/>
        </w:rPr>
        <w:t xml:space="preserve">. Тест сравнительной кинетики растворения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vitro</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54"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111. Методика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выполнения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ТКСР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использованию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фактора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подобия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(сходимости,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f</w:t>
      </w:r>
      <w:r w:rsidRPr="000E0324">
        <w:rPr>
          <w:rFonts w:ascii="Times New Roman" w:eastAsia="Times New Roman" w:hAnsi="Times New Roman" w:cs="Times New Roman"/>
          <w:w w:val="99"/>
          <w:position w:val="-4"/>
          <w:sz w:val="24"/>
          <w:szCs w:val="24"/>
          <w:lang w:val="ru-RU"/>
        </w:rPr>
        <w:t>2</w:t>
      </w:r>
      <w:r w:rsidRPr="000E0324">
        <w:rPr>
          <w:rFonts w:ascii="Times New Roman" w:eastAsia="Times New Roman" w:hAnsi="Times New Roman" w:cs="Times New Roman"/>
          <w:sz w:val="24"/>
          <w:szCs w:val="24"/>
          <w:lang w:val="ru-RU"/>
        </w:rPr>
        <w:t>-критерий)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 соответствовать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 настоящим Правилам.</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785F17">
      <w:pPr>
        <w:spacing w:after="0" w:line="240" w:lineRule="auto"/>
        <w:ind w:left="1364" w:right="135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1. Тест сравнительной кинетики растворения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vitro</w:t>
      </w:r>
      <w:r w:rsidR="00785F17"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как дополнение к исследованиям биоэквивалентности</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112.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ТСКР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 исследуемого лекарственного препарата и референтного лекарственного препарата, использованных в исследовании биоэквивалентности, в трех 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буферных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(обычно</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pH</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6,8)</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среде, подлежащей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выпускающих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испытаниях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включаемая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спецификацию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(нормативный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 форм, например, таблеток, диспергирующихся в полости рта, проводят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 представлять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 времени с указанием средних значений и обобщающих статистик.</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113. В отсутствие иных обоснований спецификации (нормативном документе по контролю качества лекарственного препарата) для контроля качества по показателю «Растворение» исследуемого лекарственного препарата следует составлять на основании профиля растворения серии исследуемого лекарственного препарата, подтвердившей биоэквивалентность референтному лекарственному препарату (в соответствии с требованиями приложения № 5 к настоящим Правилам).</w:t>
      </w:r>
    </w:p>
    <w:p w:rsidR="005661C0" w:rsidRPr="000E0324" w:rsidRDefault="00855820" w:rsidP="00903CB0">
      <w:pPr>
        <w:spacing w:before="21"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ТСКР,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подтверждают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доказанную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 xml:space="preserve">биоэквивалентность, то опираются на результаты исследований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Pr="000E0324">
        <w:rPr>
          <w:rFonts w:ascii="Times New Roman" w:eastAsia="Times New Roman" w:hAnsi="Times New Roman" w:cs="Times New Roman"/>
          <w:sz w:val="24"/>
          <w:szCs w:val="24"/>
          <w:lang w:val="ru-RU"/>
        </w:rPr>
        <w:t>. Однако необходимо изучить и объяснить причины такого расхождения.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785F17">
      <w:pPr>
        <w:spacing w:after="0" w:line="240" w:lineRule="auto"/>
        <w:ind w:left="1842" w:right="1832"/>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Тест сравнительной кинетики растворения</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целях биовейвера дополнительных дозировок</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785F17">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114. Обоснованность непроведения дополнительных исследований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выполненным надлежащим образом ТСКР. Если не указано иное, необходимо изучить растворение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pH</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(обычно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pH</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6,8). Для всех представленных серий необходимо подтвердить сопоставимость профилей растворения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vitro</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между дополнительными дозировками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требований приложения № 5 к настоящим Правилам).</w:t>
      </w:r>
    </w:p>
    <w:p w:rsidR="005661C0" w:rsidRPr="000E0324" w:rsidRDefault="00855820" w:rsidP="00785F17">
      <w:pPr>
        <w:spacing w:before="4"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115. При значениях </w:t>
      </w:r>
      <w:r w:rsidRPr="000E0324">
        <w:rPr>
          <w:rFonts w:ascii="Times New Roman" w:eastAsia="Times New Roman" w:hAnsi="Times New Roman" w:cs="Times New Roman"/>
          <w:sz w:val="24"/>
          <w:szCs w:val="24"/>
        </w:rPr>
        <w:t>pH</w:t>
      </w:r>
      <w:r w:rsidRPr="000E0324">
        <w:rPr>
          <w:rFonts w:ascii="Times New Roman" w:eastAsia="Times New Roman" w:hAnsi="Times New Roman" w:cs="Times New Roman"/>
          <w:sz w:val="24"/>
          <w:szCs w:val="24"/>
          <w:lang w:val="ru-RU"/>
        </w:rPr>
        <w:t>, при которых ни для одной из дозировок не удается достичь полного растворения, условия проведения ТСКР между дозировками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 это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обусловлено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лекарственной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соответствующей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Кроме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заявитель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вправе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сопоставимость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профилей для одинаковых доз (например, между двумя таблетками с дозировкой</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 мг и одной таблеткой с дозировкой 10 мг).</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3059" w:right="3050"/>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V</w:t>
      </w:r>
      <w:r w:rsidRPr="000E0324">
        <w:rPr>
          <w:rFonts w:ascii="Times New Roman" w:eastAsia="Times New Roman" w:hAnsi="Times New Roman" w:cs="Times New Roman"/>
          <w:sz w:val="24"/>
          <w:szCs w:val="24"/>
          <w:lang w:val="ru-RU"/>
        </w:rPr>
        <w:t>. Отчет об исследовании</w:t>
      </w:r>
    </w:p>
    <w:p w:rsidR="005661C0" w:rsidRPr="000E0324" w:rsidRDefault="005661C0" w:rsidP="00903CB0">
      <w:pPr>
        <w:spacing w:before="11" w:after="0" w:line="280" w:lineRule="exact"/>
        <w:rPr>
          <w:rFonts w:ascii="Times New Roman" w:hAnsi="Times New Roman" w:cs="Times New Roman"/>
          <w:sz w:val="24"/>
          <w:szCs w:val="24"/>
          <w:lang w:val="ru-RU"/>
        </w:rPr>
      </w:pPr>
    </w:p>
    <w:p w:rsidR="005661C0" w:rsidRPr="000E0324" w:rsidRDefault="00855820" w:rsidP="00785F17">
      <w:pPr>
        <w:spacing w:after="0" w:line="240" w:lineRule="auto"/>
        <w:ind w:left="1744" w:right="1732"/>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Отчет об исследовании биоэквивалентности</w:t>
      </w:r>
    </w:p>
    <w:p w:rsidR="00785F17" w:rsidRPr="000E0324" w:rsidRDefault="00785F17" w:rsidP="00785F17">
      <w:pPr>
        <w:spacing w:after="0" w:line="240" w:lineRule="auto"/>
        <w:ind w:left="1744" w:right="1732"/>
        <w:jc w:val="center"/>
        <w:rPr>
          <w:rFonts w:ascii="Times New Roman" w:hAnsi="Times New Roman" w:cs="Times New Roman"/>
          <w:sz w:val="24"/>
          <w:szCs w:val="24"/>
          <w:lang w:val="ru-RU"/>
        </w:rPr>
      </w:pPr>
    </w:p>
    <w:p w:rsidR="005661C0" w:rsidRPr="000E0324" w:rsidRDefault="00855820" w:rsidP="00903CB0">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116. 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 содержать все необходимые сведения о протоколе исследования, проведении исследования и его анализе. Отчет должен быть составлен и подписан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исследователем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 правилам надлежащей клинической практики Союза, утверждаемым Комиссией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7</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Структура отчета об исследовании биоэквивалентности должна соответствовать приложению № 7 к настоящим Правилам.</w:t>
      </w:r>
    </w:p>
    <w:p w:rsidR="005661C0" w:rsidRPr="000E0324" w:rsidRDefault="00855820" w:rsidP="00903CB0">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отчете необходимо указать фамилии и имена ответственных исследователей, их место работы, место и длительность проведения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сертификаты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заключения,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составленные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результатам аудита (при наличии).</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117. 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выбор 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 подраздела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указать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торговое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наименование,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форму, номер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производителя,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годности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страну,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был приобретен референтный лекарственный препарат.</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118. В отчете необходимо указать наименование, состав, размер и номер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истечения срока годности исследуемого лекарственного препарата.</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Сертификаты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 лекарственных препаратов, использованных в исследовании, прикладываются к отчету в виде приложения.</w:t>
      </w:r>
    </w:p>
    <w:p w:rsidR="005661C0" w:rsidRPr="000E0324" w:rsidRDefault="00855820" w:rsidP="00785F17">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119. Сведения о концентрациях, фармакокинетических параметрах и результатах статистического анализа необходимо представить в объеме, предусмотренном подразделом «Представление данных» подраздела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Сокращение</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указывается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приложением № 8.</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517" w:right="51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Прочие требования к представлению результатов исследования биоэквивалентности в составе регистрационного досье</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120. Заявитель должен представить подписанный им официальный документ,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подтверждающий,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технология производства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поданного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 регистрацию,</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отличаются.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сравнительные профили растворения (в соответствии с разделом </w:t>
      </w:r>
      <w:r w:rsidRPr="000E0324">
        <w:rPr>
          <w:rFonts w:ascii="Times New Roman" w:eastAsia="Times New Roman" w:hAnsi="Times New Roman" w:cs="Times New Roman"/>
          <w:sz w:val="24"/>
          <w:szCs w:val="24"/>
        </w:rPr>
        <w:t>IV</w:t>
      </w:r>
      <w:r w:rsidRPr="000E0324">
        <w:rPr>
          <w:rFonts w:ascii="Times New Roman" w:eastAsia="Times New Roman" w:hAnsi="Times New Roman" w:cs="Times New Roman"/>
          <w:sz w:val="24"/>
          <w:szCs w:val="24"/>
          <w:lang w:val="ru-RU"/>
        </w:rPr>
        <w:t xml:space="preserve"> настоящих Правил и приложением № 7).</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Отчет о валидации биоаналитического метода и аналитический отчет, подготовленный в соответствии с требованиями приложения № 6, необходимо включить в модуль 5 </w:t>
      </w:r>
      <w:r w:rsidRPr="000E0324">
        <w:rPr>
          <w:rFonts w:ascii="Times New Roman" w:eastAsia="Times New Roman" w:hAnsi="Times New Roman" w:cs="Times New Roman"/>
          <w:sz w:val="24"/>
          <w:szCs w:val="24"/>
          <w:lang w:val="ru-RU"/>
        </w:rPr>
        <w:lastRenderedPageBreak/>
        <w:t>регистрационного досье лекарственного препарата.</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121. 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запросу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виде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электронного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текстового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файла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разделенными запятыми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пробелами,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файла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Excel</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ином формате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согласованию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уполномоченным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органом),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достаточные для воспроизведения фармакокинетического и статистического анализа, включая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времени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 лекарственного препарата, значениях фармакокинетических параметров каждого субъекта в каждом периоде и схеме рандомизации.</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545" w:right="1537"/>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VI</w:t>
      </w:r>
      <w:r w:rsidRPr="000E0324">
        <w:rPr>
          <w:rFonts w:ascii="Times New Roman" w:eastAsia="Times New Roman" w:hAnsi="Times New Roman" w:cs="Times New Roman"/>
          <w:sz w:val="24"/>
          <w:szCs w:val="24"/>
          <w:lang w:val="ru-RU"/>
        </w:rPr>
        <w:t>. Объем исследований при внесении изменений в регистрационное досье</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785F17">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122.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одобренного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технологии производства,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повлиять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проводятся</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in</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Pr="000E0324">
        <w:rPr>
          <w:rFonts w:ascii="Times New Roman" w:eastAsia="Times New Roman" w:hAnsi="Times New Roman" w:cs="Times New Roman"/>
          <w:i/>
          <w:sz w:val="24"/>
          <w:szCs w:val="24"/>
          <w:lang w:val="ru-RU"/>
        </w:rPr>
        <w:t>,</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представлено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иных обоснований.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Всякое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представленное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 основываться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принципах,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приложении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установлении приемлемой (уровня </w:t>
      </w:r>
      <w:r w:rsidRPr="000E0324">
        <w:rPr>
          <w:rFonts w:ascii="Times New Roman" w:eastAsia="Times New Roman" w:hAnsi="Times New Roman" w:cs="Times New Roman"/>
          <w:sz w:val="24"/>
          <w:szCs w:val="24"/>
        </w:rPr>
        <w:t>A</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vitro</w:t>
      </w:r>
      <w:r w:rsidRPr="000E0324">
        <w:rPr>
          <w:rFonts w:ascii="Times New Roman" w:eastAsia="Times New Roman" w:hAnsi="Times New Roman" w:cs="Times New Roman"/>
          <w:i/>
          <w:sz w:val="24"/>
          <w:szCs w:val="24"/>
          <w:lang w:val="ru-RU"/>
        </w:rPr>
        <w:t xml:space="preserve"> –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 xml:space="preserve">корреляции </w:t>
      </w:r>
      <w:r w:rsidRPr="000E0324">
        <w:rPr>
          <w:rFonts w:ascii="Times New Roman" w:eastAsia="Times New Roman" w:hAnsi="Times New Roman" w:cs="Times New Roman"/>
          <w:i/>
          <w:sz w:val="24"/>
          <w:szCs w:val="24"/>
          <w:lang w:val="ru-RU"/>
        </w:rPr>
        <w:t>(</w:t>
      </w:r>
      <w:r w:rsidRPr="000E0324">
        <w:rPr>
          <w:rFonts w:ascii="Times New Roman" w:eastAsia="Times New Roman" w:hAnsi="Times New Roman" w:cs="Times New Roman"/>
          <w:i/>
          <w:sz w:val="24"/>
          <w:szCs w:val="24"/>
        </w:rPr>
        <w:t>IVIVC</w:t>
      </w:r>
      <w:r w:rsidRPr="000E0324">
        <w:rPr>
          <w:rFonts w:ascii="Times New Roman" w:eastAsia="Times New Roman" w:hAnsi="Times New Roman" w:cs="Times New Roman"/>
          <w:i/>
          <w:sz w:val="24"/>
          <w:szCs w:val="24"/>
          <w:lang w:val="ru-RU"/>
        </w:rPr>
        <w:t>)</w:t>
      </w:r>
      <w:r w:rsidRPr="000E0324">
        <w:rPr>
          <w:rFonts w:ascii="Times New Roman" w:eastAsia="Times New Roman" w:hAnsi="Times New Roman" w:cs="Times New Roman"/>
          <w:sz w:val="24"/>
          <w:szCs w:val="24"/>
          <w:lang w:val="ru-RU"/>
        </w:rPr>
        <w:t>.</w:t>
      </w:r>
    </w:p>
    <w:p w:rsidR="005661C0" w:rsidRPr="000E0324" w:rsidRDefault="00855820" w:rsidP="00903CB0">
      <w:pPr>
        <w:spacing w:before="7"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 биодоступность измененного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препарата ранее изучена и установлена приемлемая (уровня </w:t>
      </w:r>
      <w:r w:rsidRPr="000E0324">
        <w:rPr>
          <w:rFonts w:ascii="Times New Roman" w:eastAsia="Times New Roman" w:hAnsi="Times New Roman" w:cs="Times New Roman"/>
          <w:sz w:val="24"/>
          <w:szCs w:val="24"/>
        </w:rPr>
        <w:t>A</w:t>
      </w:r>
      <w:r w:rsidRPr="000E0324">
        <w:rPr>
          <w:rFonts w:ascii="Times New Roman" w:eastAsia="Times New Roman" w:hAnsi="Times New Roman" w:cs="Times New Roman"/>
          <w:sz w:val="24"/>
          <w:szCs w:val="24"/>
          <w:lang w:val="ru-RU"/>
        </w:rPr>
        <w:t>) корреляция между фармакокинетическими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кинетикой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растворения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vitro</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сопоставимости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vitro</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между измененным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одобренным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 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использовались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установления корреляции, исследование биоэквивалентности проводить не требуется (в соответствии с приложением № 5).</w:t>
      </w:r>
    </w:p>
    <w:p w:rsidR="005661C0" w:rsidRPr="000E0324" w:rsidRDefault="00855820" w:rsidP="00903CB0">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123.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внесении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регистрационные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досье лекарственных препаратов, которые не являются воспроизведенными лекарственными препаратами (например, оригинальные, новые комбинации,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хорошо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ТСКР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одобренный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 препарат с прежним составом, местом производства, упаковкой и т. п.</w:t>
      </w:r>
    </w:p>
    <w:p w:rsidR="00785F17" w:rsidRPr="000E0324" w:rsidRDefault="00855820" w:rsidP="00903CB0">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124.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внесении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досье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воспроизведенного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гибридного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(компаратора, контроля)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имеющаяся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рынке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 лекарственного препарата. Если лекарственный препарат отсутствует на рынке,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одобренным составом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(воспроизведенного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гибридного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785F17" w:rsidRPr="000E0324">
        <w:rPr>
          <w:rFonts w:ascii="Times New Roman" w:eastAsia="Times New Roman" w:hAnsi="Times New Roman" w:cs="Times New Roman"/>
          <w:sz w:val="24"/>
          <w:szCs w:val="24"/>
          <w:lang w:val="ru-RU"/>
        </w:rPr>
        <w:t xml:space="preserve"> изменениях, не требующих исследования биоэквивалентности, следует руководствоваться рекомендациями и требованиями актов, входящих в право Союза, в сфере обращения лекарственных средств.</w:t>
      </w:r>
    </w:p>
    <w:p w:rsidR="00785F17" w:rsidRPr="000E0324" w:rsidRDefault="00785F17" w:rsidP="00903CB0">
      <w:pPr>
        <w:spacing w:before="5" w:after="0" w:line="360" w:lineRule="auto"/>
        <w:ind w:left="102" w:right="38" w:firstLine="708"/>
        <w:jc w:val="both"/>
        <w:rPr>
          <w:rFonts w:ascii="Times New Roman" w:eastAsia="Times New Roman" w:hAnsi="Times New Roman" w:cs="Times New Roman"/>
          <w:sz w:val="24"/>
          <w:szCs w:val="24"/>
          <w:lang w:val="ru-RU"/>
        </w:rPr>
      </w:pPr>
    </w:p>
    <w:p w:rsidR="00785F17" w:rsidRPr="000E0324" w:rsidRDefault="00785F17">
      <w:pP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br w:type="page"/>
      </w:r>
    </w:p>
    <w:p w:rsidR="005661C0" w:rsidRPr="000E0324" w:rsidRDefault="00855820" w:rsidP="00903CB0">
      <w:pPr>
        <w:spacing w:before="65" w:after="0" w:line="240" w:lineRule="auto"/>
        <w:ind w:left="5666" w:right="112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ПРИЛОЖЕНИЕ № 1</w:t>
      </w:r>
    </w:p>
    <w:p w:rsidR="005661C0" w:rsidRPr="000E0324" w:rsidRDefault="00855820" w:rsidP="00903CB0">
      <w:pPr>
        <w:spacing w:after="0" w:line="240" w:lineRule="auto"/>
        <w:ind w:left="4655" w:right="111" w:firstLine="2"/>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 Правилам проведения исследований биоэквивалентности лекарственных препаратов в рамках Евразийского экономического союза</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5661C0" w:rsidP="00903CB0">
      <w:pPr>
        <w:spacing w:before="6"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723" w:right="271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ОБЩИЕ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w:t>
      </w:r>
    </w:p>
    <w:p w:rsidR="005661C0" w:rsidRPr="000E0324" w:rsidRDefault="00855820" w:rsidP="00903CB0">
      <w:pPr>
        <w:spacing w:before="1" w:after="0" w:line="346" w:lineRule="exact"/>
        <w:ind w:left="1393" w:right="1383" w:hanging="5"/>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b/>
          <w:bCs/>
          <w:sz w:val="24"/>
          <w:szCs w:val="24"/>
          <w:lang w:val="ru-RU"/>
        </w:rPr>
        <w:t>к исследованию биоэквивалентности различных лекарственных форм лекарственных препаратов</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5661C0" w:rsidP="00903CB0">
      <w:pPr>
        <w:spacing w:before="15" w:after="0" w:line="280" w:lineRule="exact"/>
        <w:rPr>
          <w:rFonts w:ascii="Times New Roman" w:hAnsi="Times New Roman" w:cs="Times New Roman"/>
          <w:sz w:val="24"/>
          <w:szCs w:val="24"/>
          <w:lang w:val="ru-RU"/>
        </w:rPr>
      </w:pPr>
    </w:p>
    <w:p w:rsidR="005661C0" w:rsidRPr="000E0324" w:rsidRDefault="00855820" w:rsidP="00903CB0">
      <w:pPr>
        <w:spacing w:after="0" w:line="240" w:lineRule="auto"/>
        <w:ind w:left="3421" w:right="341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w:t>
      </w:r>
      <w:r w:rsidRPr="000E0324">
        <w:rPr>
          <w:rFonts w:ascii="Times New Roman" w:eastAsia="Times New Roman" w:hAnsi="Times New Roman" w:cs="Times New Roman"/>
          <w:sz w:val="24"/>
          <w:szCs w:val="24"/>
          <w:lang w:val="ru-RU"/>
        </w:rPr>
        <w:t>. Общие положения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785F17">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другую соль,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сложный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эфир,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стереоизомер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смесь,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комплексное соединение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референтным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биоэквивалентность необходимо подтвердить с помощью исследований биоэквивалентности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идентично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веществу 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 схожими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установленными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 правилам проведения исследований биоэквивалентности лекарственных 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 утверждаемым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комиссией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(далее соответственно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 Комиссия)), то в некоторых случаях, описанных ниже и в приложении</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биоэквивалентности, проведение исследований биоэквивалентности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 xml:space="preserve"> не требуется.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785F17">
      <w:pPr>
        <w:spacing w:before="21" w:after="0" w:line="240" w:lineRule="auto"/>
        <w:ind w:left="1869" w:right="185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II</w:t>
      </w:r>
      <w:r w:rsidRPr="000E0324">
        <w:rPr>
          <w:rFonts w:ascii="Times New Roman" w:eastAsia="Times New Roman" w:hAnsi="Times New Roman" w:cs="Times New Roman"/>
          <w:sz w:val="24"/>
          <w:szCs w:val="24"/>
          <w:lang w:val="ru-RU"/>
        </w:rPr>
        <w:t>. Лекарственные формы для приема внутрь</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немедленным высвобождением системного действия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биовейвера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требованиями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 таблетки,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капсулы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суспензии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таблеток, диспергирующихся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внутрь применяются специальные, описанные ниже требования.</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686" w:right="167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III</w:t>
      </w:r>
      <w:r w:rsidRPr="000E0324">
        <w:rPr>
          <w:rFonts w:ascii="Times New Roman" w:eastAsia="Times New Roman" w:hAnsi="Times New Roman" w:cs="Times New Roman"/>
          <w:sz w:val="24"/>
          <w:szCs w:val="24"/>
          <w:lang w:val="ru-RU"/>
        </w:rPr>
        <w:t>. Таблетки, диспергирующиеся в полости рта</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Таблетки, диспергирующиеся в полости рта (далее – ТДП), предназначены для быстрого растворения во рту. Если действующее вещество также растворяется в слюне и способно всасываться через слизистую оболочку ротовой полости, то время приема 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контакта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слизистой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оболочкой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важными факторами.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проглатывания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высвободившегося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ТДП,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покрытых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оболочкой,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зависимости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состава лекарственного препарата, всасывание </w:t>
      </w:r>
      <w:r w:rsidR="00785F17" w:rsidRPr="000E0324">
        <w:rPr>
          <w:rFonts w:ascii="Times New Roman" w:eastAsia="Times New Roman" w:hAnsi="Times New Roman" w:cs="Times New Roman"/>
          <w:sz w:val="24"/>
          <w:szCs w:val="24"/>
          <w:lang w:val="ru-RU"/>
        </w:rPr>
        <w:t>также происходит и в желудочно-</w:t>
      </w:r>
      <w:r w:rsidRPr="000E0324">
        <w:rPr>
          <w:rFonts w:ascii="Times New Roman" w:eastAsia="Times New Roman" w:hAnsi="Times New Roman" w:cs="Times New Roman"/>
          <w:sz w:val="24"/>
          <w:szCs w:val="24"/>
          <w:lang w:val="ru-RU"/>
        </w:rPr>
        <w:t>кишечном тракте. Если можно подтвердить, что действующее вещество не всасывается из полости рта, а требует проглатывания для абсорбции 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желудочно-кишечного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тракта,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 удовлетворять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биовейвера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основании биофармацевтической системы классификации (БКС) (в соответствии с требованиями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 биоэквивалентности). Если это невозможно подтвердить, то необходимо проводить исследование биоэквивалентности у человека.</w:t>
      </w:r>
    </w:p>
    <w:p w:rsidR="005661C0" w:rsidRPr="000E0324" w:rsidRDefault="00855820" w:rsidP="00903CB0">
      <w:pPr>
        <w:spacing w:before="21"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 ТДП являются дополнительной (новой) лекарственной формой и (или) расширением линейки дозировок для иного состава лекарственного препарата для приема внутрь, то проводят трехпериодное исследование с целью оценить применение таблеток, диспергирующихся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рта,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одновременном приеме с водой или без нее. Однако если биоэквивалентность между ТДП, принятой без воды,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запитого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водой, показана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двухпериодном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ТДП, запиваемой водой, считается доказанной.</w:t>
      </w:r>
    </w:p>
    <w:p w:rsidR="005661C0" w:rsidRPr="000E0324" w:rsidRDefault="00855820" w:rsidP="00903CB0">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ТДП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лекарственному препарату,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представляющему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собой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ТДП,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воспроизведенным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гибридным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планировании исследования следует придерживаться следующих требований:</w:t>
      </w:r>
    </w:p>
    <w:p w:rsidR="005661C0" w:rsidRPr="000E0324" w:rsidRDefault="00855820" w:rsidP="00903CB0">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 запивать, так и не запивать водой, то исследование биоэквивалентности должно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поскольку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больше соответствует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реальных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особенно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 растворяется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всасывается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биоэквивалентность без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одновременным приемом жидкости считается доказанной;</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если референтный лекарственный препарат либо запивают, либо 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запивают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водой,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соответствующих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двухпериодным перекрестным дизайном);</w:t>
      </w:r>
    </w:p>
    <w:p w:rsidR="005661C0" w:rsidRPr="000E0324" w:rsidRDefault="00855820" w:rsidP="0063793B">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если референтный лекарственный препарат либо запивают, либо 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запивают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водой,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 предназначен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проводят,</w:t>
      </w:r>
      <w:r w:rsidR="00785F17"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запивая и не запивая исследуемый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 препарат водой, при 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рекомендованным способом (трехпериодное исследование в 3 группах в</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 последовательностях).</w:t>
      </w:r>
    </w:p>
    <w:p w:rsidR="005661C0" w:rsidRPr="000E0324" w:rsidRDefault="00855820" w:rsidP="00903CB0">
      <w:pPr>
        <w:spacing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исследованиях по изучению ТДП, если последняя не запивается водой,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непосредственно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 смочить слизистую оболочку полости рта 20 мл воды. Прием жидкости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запрещен.</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пленок, диспергирующихся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пленок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защечных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таблеток, таблеток подъязычных и таблеток жевательных проводится по аналогии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ТДП.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рекомендуемым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исследуемого лекарственного </w:t>
      </w:r>
      <w:r w:rsidRPr="000E0324">
        <w:rPr>
          <w:rFonts w:ascii="Times New Roman" w:eastAsia="Times New Roman" w:hAnsi="Times New Roman" w:cs="Times New Roman"/>
          <w:sz w:val="24"/>
          <w:szCs w:val="24"/>
          <w:lang w:val="ru-RU"/>
        </w:rPr>
        <w:lastRenderedPageBreak/>
        <w:t>препарата.</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710"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IV</w:t>
      </w:r>
      <w:r w:rsidRPr="000E0324">
        <w:rPr>
          <w:rFonts w:ascii="Times New Roman" w:eastAsia="Times New Roman" w:hAnsi="Times New Roman" w:cs="Times New Roman"/>
          <w:sz w:val="24"/>
          <w:szCs w:val="24"/>
          <w:lang w:val="ru-RU"/>
        </w:rPr>
        <w:t>. Растворы для приема внутрь</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63793B">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 исследуемый лекарственный препарат представляет собой водный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концентрацию 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зарегистрированный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 проведение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повлиять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моторику желудочно-кишечного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тракта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сорбитол,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маннитол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т.д.), абсорбцию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поверхностно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соединения,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белки-переносчики),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процесс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всасывания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сорастворители)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стабильность 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in</w:t>
      </w:r>
      <w:r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vivo</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содержанием вспомогательных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прочими</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данными, то проводится исследование биоэквивалентности. Требования к вспомогательным веществам растворов для приема внутрь аналогичны условиям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биовейвера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4</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 Правилам проведения исследований биоэквивалентности).</w:t>
      </w:r>
    </w:p>
    <w:p w:rsidR="005661C0" w:rsidRPr="000E0324" w:rsidRDefault="00855820" w:rsidP="00903CB0">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 биоэквивалентность исследуемого лекарственного препарата, являющегося раствором для приема внутрь, должна быть подтверждена по отношению к другому лекарственному препарату с немедленным 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 биоэквивалентности.</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646" w:right="163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V</w:t>
      </w:r>
      <w:r w:rsidRPr="000E0324">
        <w:rPr>
          <w:rFonts w:ascii="Times New Roman" w:eastAsia="Times New Roman" w:hAnsi="Times New Roman" w:cs="Times New Roman"/>
          <w:sz w:val="24"/>
          <w:szCs w:val="24"/>
          <w:lang w:val="ru-RU"/>
        </w:rPr>
        <w:t>. Комбинированные лекарственные препараты</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Требования по проведению исследования представлены в документе Союза по клинической разработке комбинированных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биовейвера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 комбинированных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изложены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w:t>
      </w:r>
      <w:r w:rsidRPr="000E0324">
        <w:rPr>
          <w:rFonts w:ascii="Times New Roman" w:eastAsia="Times New Roman" w:hAnsi="Times New Roman" w:cs="Times New Roman"/>
          <w:sz w:val="24"/>
          <w:szCs w:val="24"/>
          <w:lang w:val="ru-RU"/>
        </w:rPr>
        <w:t xml:space="preserve"> приложения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 биоэквивалентности.</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793" w:right="784" w:hanging="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VI</w:t>
      </w:r>
      <w:r w:rsidRPr="000E0324">
        <w:rPr>
          <w:rFonts w:ascii="Times New Roman" w:eastAsia="Times New Roman" w:hAnsi="Times New Roman" w:cs="Times New Roman"/>
          <w:sz w:val="24"/>
          <w:szCs w:val="24"/>
          <w:lang w:val="ru-RU"/>
        </w:rPr>
        <w:t>. Лекарственные формы с немедленным высвобождением системного действия, не предназначенные для приема внутрь</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Настоящий раздел, в частности, касается ректальных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проводятся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 представляет собой раствор, который содержит действующее вещество в 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зарегистрированный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 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схожим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количественным содержанием вспомогательных веществ, возможен биовейвер (при этом могут применяться требования, аналогичные для растворов для приема внутрь).</w:t>
      </w:r>
    </w:p>
    <w:p w:rsidR="005661C0" w:rsidRPr="000E0324" w:rsidRDefault="00855820" w:rsidP="00903CB0">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Положения данного подраздела не относятся к лекарственным препаратам для ингаляций, применяемых для лечения бронхиальной астмы и хронические обструктивные болезни легких, а также к гормональным спреям для назального применения.</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899"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VII</w:t>
      </w:r>
      <w:r w:rsidRPr="000E0324">
        <w:rPr>
          <w:rFonts w:ascii="Times New Roman" w:eastAsia="Times New Roman" w:hAnsi="Times New Roman" w:cs="Times New Roman"/>
          <w:sz w:val="24"/>
          <w:szCs w:val="24"/>
          <w:lang w:val="ru-RU"/>
        </w:rPr>
        <w:t>. Растворы для парентерального введения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 исследуемый лекарственный препарат является водным раствором для внутривенного введения и содержит то же действующее вещество, что и зарегистрированный лекарственный препарат, то проведение исследования биоэквивалентности, как правило, не требуется. Однако если одно из вспомогательных веществ способно взаимодействовать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образованием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комплексов)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 распределение,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метаболизм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избежать,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сравниваемые лекарственные препараты содержат примерно одинаковое количество вспомогательных веществ и должным образом доказано, что имеющиеся различия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фармакокинетику действующего вещества.</w:t>
      </w:r>
    </w:p>
    <w:p w:rsidR="005661C0" w:rsidRPr="000E0324" w:rsidRDefault="00855820" w:rsidP="0063793B">
      <w:pPr>
        <w:spacing w:before="7"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При других парентеральных путях введения, например, внутримышечном и подкожном, если исследуемый лекарственный 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имеет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одинаковый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тип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растворителя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водная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масляная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 концентрации и те же вспомогательных вещества в схожих количествах, 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зарегистрированный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 исследований биоэквивалентности не требуется. Более того, проведение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водных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примерно</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одинаковым содержанием вспомогательных веществ не требуется, если последние не влияют на вязкость.</w:t>
      </w:r>
    </w:p>
    <w:p w:rsidR="005661C0" w:rsidRPr="000E0324" w:rsidRDefault="005661C0" w:rsidP="00903CB0">
      <w:pPr>
        <w:spacing w:before="11" w:after="0" w:line="240" w:lineRule="exact"/>
        <w:rPr>
          <w:rFonts w:ascii="Times New Roman" w:hAnsi="Times New Roman" w:cs="Times New Roman"/>
          <w:sz w:val="24"/>
          <w:szCs w:val="24"/>
          <w:lang w:val="ru-RU"/>
        </w:rPr>
      </w:pPr>
    </w:p>
    <w:p w:rsidR="005661C0" w:rsidRPr="000E0324" w:rsidRDefault="00855820" w:rsidP="00903CB0">
      <w:pPr>
        <w:spacing w:after="0" w:line="344" w:lineRule="exact"/>
        <w:ind w:left="1365" w:right="135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VIII</w:t>
      </w:r>
      <w:r w:rsidRPr="000E0324">
        <w:rPr>
          <w:rFonts w:ascii="Times New Roman" w:eastAsia="Times New Roman" w:hAnsi="Times New Roman" w:cs="Times New Roman"/>
          <w:sz w:val="24"/>
          <w:szCs w:val="24"/>
          <w:lang w:val="ru-RU"/>
        </w:rPr>
        <w:t>. Липосомальные, мицеллярные и эмульсионные лекарственные формы для внутривенного введения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2079" w:right="206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Липосомальные лекарственные формы</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Фармакокинетические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особенности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липосомальных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 для внутривенного введения требуют особых подходов подтверждения биоэквивалентности в соответствии с правом Союза.</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945" w:right="3940"/>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Эмульсии</w:t>
      </w:r>
    </w:p>
    <w:p w:rsidR="005661C0" w:rsidRPr="000E0324" w:rsidRDefault="005661C0" w:rsidP="00903CB0">
      <w:pPr>
        <w:spacing w:before="11" w:after="0" w:line="200" w:lineRule="exact"/>
        <w:rPr>
          <w:rFonts w:ascii="Times New Roman" w:hAnsi="Times New Roman" w:cs="Times New Roman"/>
          <w:sz w:val="24"/>
          <w:szCs w:val="24"/>
          <w:lang w:val="ru-RU"/>
        </w:rPr>
      </w:pPr>
    </w:p>
    <w:p w:rsidR="005661C0" w:rsidRPr="000E0324" w:rsidRDefault="00855820" w:rsidP="000E0324">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Эмульсии, как правило, не подлежат процедуре биовейвера.</w:t>
      </w:r>
    </w:p>
    <w:p w:rsidR="005661C0" w:rsidRPr="000E0324" w:rsidRDefault="00855820" w:rsidP="000E0324">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соблюдении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нижеперечисленных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процедура биовейвера возможна:</w:t>
      </w:r>
    </w:p>
    <w:p w:rsidR="005661C0" w:rsidRPr="000E0324" w:rsidRDefault="00855820" w:rsidP="000E0324">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лекарственная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предназначена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контролируемого высвобождения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(векторной доставки);</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способ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совпадают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таковыми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зарегистрированного лекарственного препарата.</w:t>
      </w:r>
    </w:p>
    <w:p w:rsidR="005661C0" w:rsidRPr="000E0324" w:rsidRDefault="00855820" w:rsidP="00903CB0">
      <w:pPr>
        <w:spacing w:before="8" w:after="0" w:line="362"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таких случаях качественный и количественный состав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отличаться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 зарегистрированного; необходимо представить обоснованные данные, подтверждающие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схожесть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физико-химических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 включая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фракционный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дисперсной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липидной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другие значимые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характеристики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эмульсии,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 xml:space="preserve">поверхностные свойства (например, </w:t>
      </w:r>
      <w:r w:rsidRPr="000E0324">
        <w:rPr>
          <w:rFonts w:ascii="Times New Roman" w:eastAsia="Times New Roman" w:hAnsi="Times New Roman" w:cs="Times New Roman"/>
          <w:sz w:val="24"/>
          <w:szCs w:val="24"/>
        </w:rPr>
        <w:t>ζ</w:t>
      </w:r>
      <w:r w:rsidRPr="000E0324">
        <w:rPr>
          <w:rFonts w:ascii="Times New Roman" w:eastAsia="Times New Roman" w:hAnsi="Times New Roman" w:cs="Times New Roman"/>
          <w:sz w:val="24"/>
          <w:szCs w:val="24"/>
          <w:lang w:val="ru-RU"/>
        </w:rPr>
        <w:t>-потенциал и реологические свойства).</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63793B">
      <w:pPr>
        <w:spacing w:before="21" w:after="0" w:line="240" w:lineRule="auto"/>
        <w:ind w:left="2315" w:right="230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Лекарственные препараты липидов</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внутривенного парентерального питания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представлены обоснованные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сопоставимости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физико-химических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 возможна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процедура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биовейвера.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 обоснованы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показаниями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таких лекарственных форм.</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483" w:right="247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Мицеллообразующие препараты</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Мицеллярные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внутривенного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 рассматриваться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«комплексные»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поэтому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подпадают под биовейвер.</w:t>
      </w:r>
    </w:p>
    <w:p w:rsidR="005661C0" w:rsidRPr="000E0324" w:rsidRDefault="00855820" w:rsidP="00903CB0">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соблюдении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нижеперечисленных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биовейвер возможен:</w:t>
      </w:r>
    </w:p>
    <w:p w:rsidR="005661C0" w:rsidRPr="000E0324" w:rsidRDefault="00855820" w:rsidP="00903CB0">
      <w:pPr>
        <w:spacing w:before="6"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рекомендациями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происходит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быстрый распад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мицелл,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предназначена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контролируемого высвобождения или распределения;</w:t>
      </w:r>
    </w:p>
    <w:p w:rsidR="005661C0" w:rsidRPr="000E0324" w:rsidRDefault="00855820" w:rsidP="00903CB0">
      <w:pPr>
        <w:spacing w:before="8"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способ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совпадают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зарегистрированным лекарственным препаратом;</w:t>
      </w:r>
    </w:p>
    <w:p w:rsidR="005661C0" w:rsidRPr="000E0324" w:rsidRDefault="00855820" w:rsidP="0063793B">
      <w:pPr>
        <w:spacing w:before="8"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вспомогательные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распределение,</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метаболизм и выведение действующего вещества.</w:t>
      </w:r>
    </w:p>
    <w:p w:rsidR="005661C0" w:rsidRPr="000E0324" w:rsidRDefault="00855820" w:rsidP="0063793B">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таких случаях качественный и количественный состав мицеллярного раствора непосредственно перед введением не должен отличаться от зарегистрированного лекарственного препарата;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подтверждающие схожесть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физико-химических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критическая концентрация мицеллообразования,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формы</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 солюбилизации (например, максимальная добавочная концентрация (</w:t>
      </w:r>
      <w:r w:rsidRPr="000E0324">
        <w:rPr>
          <w:rFonts w:ascii="Times New Roman" w:eastAsia="Times New Roman" w:hAnsi="Times New Roman" w:cs="Times New Roman"/>
          <w:i/>
          <w:sz w:val="24"/>
          <w:szCs w:val="24"/>
        </w:rPr>
        <w:t>Maximum</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Additive</w:t>
      </w:r>
      <w:r w:rsidR="00903CB0" w:rsidRPr="000E0324">
        <w:rPr>
          <w:rFonts w:ascii="Times New Roman" w:eastAsia="Times New Roman" w:hAnsi="Times New Roman" w:cs="Times New Roman"/>
          <w:i/>
          <w:sz w:val="24"/>
          <w:szCs w:val="24"/>
          <w:lang w:val="ru-RU"/>
        </w:rPr>
        <w:t xml:space="preserve"> </w:t>
      </w:r>
      <w:r w:rsidRPr="000E0324">
        <w:rPr>
          <w:rFonts w:ascii="Times New Roman" w:eastAsia="Times New Roman" w:hAnsi="Times New Roman" w:cs="Times New Roman"/>
          <w:i/>
          <w:sz w:val="24"/>
          <w:szCs w:val="24"/>
        </w:rPr>
        <w:t>Concentration</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свободная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связанная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фракция действующего вещества и размер мицелл.</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Эти</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правила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незначительных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изменениях качественного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 состава лекарственного препарата,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затрагивают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качественный или количественный состав поверхностно-активных веществ.</w:t>
      </w:r>
    </w:p>
    <w:p w:rsidR="005661C0" w:rsidRPr="000E0324" w:rsidRDefault="005661C0" w:rsidP="00903CB0">
      <w:pPr>
        <w:spacing w:before="12" w:after="0" w:line="240" w:lineRule="exact"/>
        <w:rPr>
          <w:rFonts w:ascii="Times New Roman" w:hAnsi="Times New Roman" w:cs="Times New Roman"/>
          <w:sz w:val="24"/>
          <w:szCs w:val="24"/>
          <w:lang w:val="ru-RU"/>
        </w:rPr>
      </w:pPr>
    </w:p>
    <w:p w:rsidR="005661C0" w:rsidRPr="000E0324" w:rsidRDefault="00855820" w:rsidP="00903CB0">
      <w:pPr>
        <w:spacing w:after="0" w:line="344" w:lineRule="exact"/>
        <w:ind w:left="1609" w:right="1597"/>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IX</w:t>
      </w:r>
      <w:r w:rsidRPr="000E0324">
        <w:rPr>
          <w:rFonts w:ascii="Times New Roman" w:eastAsia="Times New Roman" w:hAnsi="Times New Roman" w:cs="Times New Roman"/>
          <w:sz w:val="24"/>
          <w:szCs w:val="24"/>
          <w:lang w:val="ru-RU"/>
        </w:rPr>
        <w:t>. Лекарственные формы с модифицированным высвобождением системного действия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88" w:right="81" w:firstLine="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Лекарственные формы с модифицированным высвобождением для приема внутрь или трансдермального применения.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Лекарственные формы с модифицированным высвобождением для приема внутрь или трансдермального применения требуют проведения исследований биоэквивалентности в соответствии с актами, входящими в право Союза.</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575" w:right="567" w:firstLine="2"/>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2. Лекарственные формы с модифицированным высвобождением для внутримышечного и подкожного введения.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При</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подтверждении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суспензий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предназначенных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модификации высвобождения действующего вещества при его внутримышечном или подкожном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применяются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подтверждению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внесосудистых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модифицированным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трансдермальных), согласно актам, входящим в право Союза.</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before="21" w:after="0" w:line="240" w:lineRule="auto"/>
        <w:ind w:left="2550" w:right="1567" w:hanging="924"/>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X</w:t>
      </w:r>
      <w:r w:rsidRPr="000E0324">
        <w:rPr>
          <w:rFonts w:ascii="Times New Roman" w:eastAsia="Times New Roman" w:hAnsi="Times New Roman" w:cs="Times New Roman"/>
          <w:sz w:val="24"/>
          <w:szCs w:val="24"/>
          <w:lang w:val="ru-RU"/>
        </w:rPr>
        <w:t>. Лекарственные препараты местного действия, применяемые местно или наружно</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Правила по изучению лекарственных препаратов местного действия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пероральном,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назальном,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легочном,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глазном,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накожном, ректальном,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вагинальном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отражены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актах, составляющих право Союза.</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 исследуемый лекарственный препарат, представляющий собой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капли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глазные,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спрей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назальный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 исключением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гормональных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назальных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спреев)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наружного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отличается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 (водная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масляная)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 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зарегистрированный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 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 Незначительные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 допустимы, если значимые фармацевтические свойства исследуемого и 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идентичны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аналогичны. Любые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качественные или количественные различия в содержании вспомогательных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позиций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влияния на терапевтическую эквивалентность. При отсутствии оснований способ 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пути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зарегистрированному лекарственному препарату.</w:t>
      </w:r>
    </w:p>
    <w:p w:rsidR="005661C0" w:rsidRPr="000E0324" w:rsidRDefault="00855820" w:rsidP="0063793B">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местного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силу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системной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абсорбции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возникает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риск системных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нежелательных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системную экспозицию.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системная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экспозиция 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таковую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верхняя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90 %</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доверительного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верхнюю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границу приемлемости биоэквивалентности (125,00 %).</w:t>
      </w:r>
    </w:p>
    <w:p w:rsidR="005661C0" w:rsidRPr="000E0324" w:rsidRDefault="00855820" w:rsidP="00903CB0">
      <w:pPr>
        <w:spacing w:before="6"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один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действия, применяемых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местно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наружно,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нельзя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рассматривать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 воспроизведенного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поскольку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они подпадают под определение гибридного лекарственного препарата.</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4187" w:right="418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XI</w:t>
      </w:r>
      <w:r w:rsidRPr="000E0324">
        <w:rPr>
          <w:rFonts w:ascii="Times New Roman" w:eastAsia="Times New Roman" w:hAnsi="Times New Roman" w:cs="Times New Roman"/>
          <w:sz w:val="24"/>
          <w:szCs w:val="24"/>
          <w:lang w:val="ru-RU"/>
        </w:rPr>
        <w:t>. Газы</w:t>
      </w:r>
    </w:p>
    <w:p w:rsidR="005661C0" w:rsidRPr="000E0324" w:rsidRDefault="005661C0" w:rsidP="00903CB0">
      <w:pPr>
        <w:spacing w:after="0" w:line="200" w:lineRule="exact"/>
        <w:rPr>
          <w:rFonts w:ascii="Times New Roman" w:hAnsi="Times New Roman" w:cs="Times New Roman"/>
          <w:sz w:val="24"/>
          <w:szCs w:val="24"/>
          <w:lang w:val="ru-RU"/>
        </w:rPr>
      </w:pPr>
    </w:p>
    <w:p w:rsidR="0063793B" w:rsidRPr="000E0324" w:rsidRDefault="00855820" w:rsidP="000E0324">
      <w:pPr>
        <w:spacing w:after="0" w:line="359" w:lineRule="auto"/>
        <w:ind w:left="102" w:right="4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газом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ингаляций, исследования биоэквивалентности не требуются.</w:t>
      </w:r>
      <w:r w:rsidR="0063793B" w:rsidRPr="000E0324">
        <w:rPr>
          <w:rFonts w:ascii="Times New Roman" w:eastAsia="Times New Roman" w:hAnsi="Times New Roman" w:cs="Times New Roman"/>
          <w:sz w:val="24"/>
          <w:szCs w:val="24"/>
          <w:lang w:val="ru-RU"/>
        </w:rPr>
        <w:br w:type="page"/>
      </w:r>
    </w:p>
    <w:p w:rsidR="005661C0" w:rsidRPr="000E0324" w:rsidRDefault="00855820" w:rsidP="00903CB0">
      <w:pPr>
        <w:spacing w:before="66" w:after="0" w:line="240" w:lineRule="auto"/>
        <w:ind w:left="5668" w:right="112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ПРИЛОЖЕНИЕ № 2</w:t>
      </w:r>
    </w:p>
    <w:p w:rsidR="005661C0" w:rsidRPr="000E0324" w:rsidRDefault="00855820" w:rsidP="00903CB0">
      <w:pPr>
        <w:spacing w:after="0" w:line="240" w:lineRule="auto"/>
        <w:ind w:left="4684" w:right="13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 Правилам проведения исследований биоэквивалентности лекарственных препаратов в рамках Евразийского экономического союза</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5661C0" w:rsidP="00903CB0">
      <w:pPr>
        <w:spacing w:before="4"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489" w:right="353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ТРЕБОВАНИЯ</w:t>
      </w:r>
    </w:p>
    <w:p w:rsidR="005661C0" w:rsidRPr="000E0324" w:rsidRDefault="00855820" w:rsidP="00903CB0">
      <w:pPr>
        <w:spacing w:after="0" w:line="240" w:lineRule="auto"/>
        <w:ind w:left="1965" w:right="1955"/>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b/>
          <w:bCs/>
          <w:sz w:val="24"/>
          <w:szCs w:val="24"/>
          <w:lang w:val="ru-RU"/>
        </w:rPr>
        <w:t>к фармакодинамическим исследованиям в рамках изучения биоэквивалентности</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63793B">
      <w:pPr>
        <w:spacing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Фармакодинамические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здоровых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добровольцев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пациентов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установления 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двумя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подход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 фармакодинамической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понадобиться,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когда количественное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плазме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моче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достаточной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чувствительностью и прецизионностью. Кроме того, фармакодинамические исследования эквивалентности у человека необходимы,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измерение концентраций 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не 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суррогатных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конечных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точек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подтверждения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эффективности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безопасности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конкретного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оказывающего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местное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Вместе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местной доступности,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 проведенные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либо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совместно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растворения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Pr="000E0324">
        <w:rPr>
          <w:rFonts w:ascii="Times New Roman" w:eastAsia="Times New Roman" w:hAnsi="Times New Roman" w:cs="Times New Roman"/>
          <w:sz w:val="24"/>
          <w:szCs w:val="24"/>
          <w:lang w:val="ru-RU"/>
        </w:rPr>
        <w:t>, могут рассматриваться в качестве суррогатных конечных точек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зрения биофармацевтического качества и высвобождения в месте действия для</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некоторых лекарственных препаратов, оказывающих местное действие. Кроме того, исследования биоэквивалентности также необходимы, чтобы подтвердить эквивалентность системной экспозиции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sz w:val="24"/>
          <w:szCs w:val="24"/>
          <w:lang w:val="ru-RU"/>
        </w:rPr>
        <w:t>) лекарственных препаратов при изучении системной безопасности.</w:t>
      </w:r>
    </w:p>
    <w:p w:rsidR="005661C0" w:rsidRPr="000E0324" w:rsidRDefault="00855820" w:rsidP="0063793B">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Фармакодинимические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рекомендованы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отношении лекарственных препаратов, действующее вещество которых проникает в системный кровоток. При этом для оценки системной экспозиции и установления биоэквивалентности можно использовать фармакокинетический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подход.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обусловлено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 фармакодинамические и клинические конечные точки характеризуются 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низкой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чувствительностью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выявлению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разницы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 лекарственными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биофармацевтических свойств,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абсорбции.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Поскольку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зависимости</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фармакодинамических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конечных точек обычно более пологие, чем соответствующие кривые зависимости 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доказать достаточную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чувствительность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есть способность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разных доз.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вызывающих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наиболее значимую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потребоваться проведение пилотного исследования. Фармакодинамические показатели имеют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всегда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большую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фармакокинетические 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Фармакодинамические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показатели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подвержены значительному влиянию эффекта плацебо, который добавляется к вариабельности и сложному дизайну исследования. В результате может потребоваться набор большого числа пациентов для достижения достаточной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мощности.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сравнительные</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фармакодинамические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группу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плацебо</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(третья группа).</w:t>
      </w:r>
    </w:p>
    <w:p w:rsidR="005661C0" w:rsidRPr="000E0324" w:rsidRDefault="00855820" w:rsidP="00903CB0">
      <w:pPr>
        <w:spacing w:after="0" w:line="360"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планировании,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 исследования должны соблюдаться следующие требования:</w:t>
      </w:r>
    </w:p>
    <w:p w:rsidR="005661C0" w:rsidRPr="000E0324" w:rsidRDefault="00855820" w:rsidP="00903CB0">
      <w:pPr>
        <w:spacing w:before="6"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измеряемая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собой фармакологический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характеризующий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эффективность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безопасность лекарственного препарата;</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методика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фармакологического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 валидирована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прецизионности, воспроизводимости и специфичности;</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референтный лекарственный препарат не должны вызывать максимальную реакцию в ходе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поскольку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оказаться</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невозможным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выявить 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применяемыми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дозах, 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вызывают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близкие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максимальным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максимальные, при этом изучение зависимости «доза – эффект» может быть необходимой частью такого исследования;</w:t>
      </w:r>
    </w:p>
    <w:p w:rsidR="005661C0" w:rsidRPr="000E0324" w:rsidRDefault="00855820" w:rsidP="00903CB0">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реакция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измеряться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предпочтительно двойным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слепым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регистрироваться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помощью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подходящего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оборудования,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позволяющего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воспроизводить и регистрировать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повторяющихся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 обеспечить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фиксацию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(документирование)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фармакодинамических эффектов,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заменяют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плазме.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такие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невозможны,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валидированным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оценочным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шкалам.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ограничены качественными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показателями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(категориальными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 выполнение специального статистического анализа;</w:t>
      </w:r>
    </w:p>
    <w:p w:rsidR="005661C0" w:rsidRPr="000E0324" w:rsidRDefault="00855820" w:rsidP="00903CB0">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 субъекты, не реагирующие на лекарственный препарат, должны быть исключены из исследования после предварительного скрининга, и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которым идентифицируются реагирующие и нереагирующие субъекты;</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 в дизайне исследования должны быть учтены лежащая в основе патология и анамнез болезни и приведена информация о воспроизводимости исходных условий;</w:t>
      </w:r>
    </w:p>
    <w:p w:rsidR="005661C0" w:rsidRPr="000E0324" w:rsidRDefault="00855820" w:rsidP="00903CB0">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ж) следует использовать перекрестный дизайн, однако, если он не пригоден,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параллельный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дизайн.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Отмывочный период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 периодами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 препарата 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полуисчезновения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острого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фармакологического эффекта.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Продолжительность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острого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фармакологического эффекта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полуисчезновения острого фармакологического эффекта.</w:t>
      </w:r>
    </w:p>
    <w:p w:rsidR="005661C0" w:rsidRPr="000E0324" w:rsidRDefault="00855820" w:rsidP="00903CB0">
      <w:pPr>
        <w:spacing w:before="7"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воспроизведенного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принципы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формирования выборки должны оставаться такими же, как описано в разделе 3 части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экономического союза, утверждаемых Евразийской экономической комиссией.</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регистрируют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непрерывные переменные,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интенсивности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наблюдаемое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некоторого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промежутка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времени, 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измерения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плазме.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 вывести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описывающие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площадь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время» (</w:t>
      </w:r>
      <w:r w:rsidRPr="000E0324">
        <w:rPr>
          <w:rFonts w:ascii="Times New Roman" w:eastAsia="Times New Roman" w:hAnsi="Times New Roman" w:cs="Times New Roman"/>
          <w:sz w:val="24"/>
          <w:szCs w:val="24"/>
        </w:rPr>
        <w:t>AUEC</w:t>
      </w:r>
      <w:r w:rsidRPr="000E0324">
        <w:rPr>
          <w:rFonts w:ascii="Times New Roman" w:eastAsia="Times New Roman" w:hAnsi="Times New Roman" w:cs="Times New Roman"/>
          <w:sz w:val="24"/>
          <w:szCs w:val="24"/>
          <w:lang w:val="ru-RU"/>
        </w:rPr>
        <w:t>), максимальную реакцию и время, когда происходит эта реакция.</w:t>
      </w:r>
    </w:p>
    <w:p w:rsidR="005661C0" w:rsidRPr="000E0324" w:rsidRDefault="00855820" w:rsidP="00903CB0">
      <w:pPr>
        <w:spacing w:before="21" w:after="0" w:line="360"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 Сравнение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воспроизведенного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референтного препарата может быть выполнено путем:</w:t>
      </w:r>
    </w:p>
    <w:p w:rsidR="005661C0" w:rsidRPr="000E0324" w:rsidRDefault="00855820" w:rsidP="00903CB0">
      <w:pPr>
        <w:spacing w:before="4"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проведения анализа дозовой зависимости или относительной активности, которая определяется как отношение активности 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 лекарственного препарата;</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проведения анализа зависимости эффекта, который состоит из подтверждения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минимум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фармакодинамической конечной точке.</w:t>
      </w:r>
    </w:p>
    <w:p w:rsidR="005661C0" w:rsidRPr="000E0324" w:rsidRDefault="00855820" w:rsidP="0063793B">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Минимальным требованием для любого из указанных способов является оценка чувствительности. Для оценки чувствительности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двух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ненулевых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 необходимо продемонстрировать, что один уровень превосходит другой.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изучить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Важно, 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расположенные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«доза – эффект». Дозы, находящиеся на нижних участках кривой, могут быть неубедительными для подтверждения эквивалентности, так как 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субтерапевтическими.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равной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доза, расположенная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вершине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оказывать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равнозначный эффект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 служить подтверждением эквивалентности.</w:t>
      </w:r>
    </w:p>
    <w:p w:rsidR="005661C0" w:rsidRPr="000E0324" w:rsidRDefault="00855820" w:rsidP="0063793B">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обоих подходов.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эквивалентности полученные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доверительные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фармакодинамических 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расположены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выбранных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 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относительной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доверительные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доверительные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интервалы рассчитываются для анализа зависимости эффекта.</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Допустимый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 неприменим. Для обоих подходов выбранный диапазон эквивалентности 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предусмотрен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тщательно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протоколе </w:t>
      </w:r>
      <w:r w:rsidRPr="000E0324">
        <w:rPr>
          <w:rFonts w:ascii="Times New Roman" w:eastAsia="Times New Roman" w:hAnsi="Times New Roman" w:cs="Times New Roman"/>
          <w:sz w:val="24"/>
          <w:szCs w:val="24"/>
          <w:lang w:val="ru-RU"/>
        </w:rPr>
        <w:lastRenderedPageBreak/>
        <w:t>исследования.</w:t>
      </w:r>
    </w:p>
    <w:p w:rsidR="005661C0" w:rsidRPr="000E0324" w:rsidRDefault="00855820" w:rsidP="00903CB0">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 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фармакодинамического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 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требованиями приложения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7</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Евразийского 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экономической комиссией с учетом особенностей фармакодинамических исследований.</w:t>
      </w:r>
    </w:p>
    <w:p w:rsidR="0063793B" w:rsidRPr="000E0324" w:rsidRDefault="0063793B" w:rsidP="00903CB0">
      <w:pPr>
        <w:spacing w:before="7" w:after="0" w:line="360" w:lineRule="auto"/>
        <w:ind w:left="102" w:right="39" w:firstLine="708"/>
        <w:jc w:val="both"/>
        <w:rPr>
          <w:rFonts w:ascii="Times New Roman" w:eastAsia="Times New Roman" w:hAnsi="Times New Roman" w:cs="Times New Roman"/>
          <w:sz w:val="24"/>
          <w:szCs w:val="24"/>
          <w:lang w:val="ru-RU"/>
        </w:rPr>
      </w:pPr>
    </w:p>
    <w:p w:rsidR="0063793B" w:rsidRPr="000E0324" w:rsidRDefault="0063793B">
      <w:pP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br w:type="page"/>
      </w:r>
    </w:p>
    <w:p w:rsidR="005661C0" w:rsidRPr="000E0324" w:rsidRDefault="00855820" w:rsidP="00903CB0">
      <w:pPr>
        <w:spacing w:before="66" w:after="0" w:line="240" w:lineRule="auto"/>
        <w:ind w:left="5668" w:right="112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ПРИЛОЖЕНИЕ № 3</w:t>
      </w:r>
    </w:p>
    <w:p w:rsidR="005661C0" w:rsidRPr="000E0324" w:rsidRDefault="00855820" w:rsidP="00903CB0">
      <w:pPr>
        <w:spacing w:after="0" w:line="240" w:lineRule="auto"/>
        <w:ind w:left="4684" w:right="13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 Правилам проведения исследований биоэквивалентности лекарственных препаратов в рамках Евразийского экономического союза</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5661C0" w:rsidP="00903CB0">
      <w:pPr>
        <w:spacing w:before="4"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489" w:right="353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ТРЕБОВАНИЯ</w:t>
      </w:r>
    </w:p>
    <w:p w:rsidR="005661C0" w:rsidRPr="000E0324" w:rsidRDefault="00855820" w:rsidP="00903CB0">
      <w:pPr>
        <w:spacing w:after="0" w:line="240" w:lineRule="auto"/>
        <w:ind w:left="1511" w:right="150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b/>
          <w:bCs/>
          <w:sz w:val="24"/>
          <w:szCs w:val="24"/>
          <w:lang w:val="ru-RU"/>
        </w:rPr>
        <w:t>к сравнительным клиническим исследованиям в рамках изучения эквивалентности</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63793B">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При некоторых обстоятельствах (например, для липосомальных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зависимости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плазме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непригодны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эквивалентности</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 лекарственных препаратов. Несмотря на то, что фармакодинамические исследования могут быть подходящим инструментом для установления эквивалентности, иногда указанные исследования не могут быть использованы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значимых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фармакодинамических 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достоверно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Предпочтительнее оценивать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фармакокинетические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вместо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последние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обладают меньшей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чувствительностью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потребовать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включения значительного количества субъектов для достижения достаточной статистической мощности (например, для достижения достаточной статистической мощности, позволяющей обнаружить повышение реакции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плацебо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8600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пациентов,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продемонстрировать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снижение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риска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16 %,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привлечь</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2600 пациентов с инфарктом миокарда).</w:t>
      </w:r>
    </w:p>
    <w:p w:rsidR="005661C0" w:rsidRPr="000E0324" w:rsidRDefault="00855820" w:rsidP="00903CB0">
      <w:pPr>
        <w:spacing w:after="0" w:line="360" w:lineRule="auto"/>
        <w:ind w:left="102" w:right="43"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Сравнительные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проводятся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дизайнам: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дизайн клинической эквивалентности и дизайн не меньшей эффективности.</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 подтверждение клинической эквивалентности, должны применяются те 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принципы,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фармакодинамических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конечных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точек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вместо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обычно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применяемых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доверительных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интервалов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доверительные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Число пациентов, включенных в клиническое исследование, будет зависеть от вариабельности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измеряемых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 колебаний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обычно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намного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больше,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исследовании биоэквивалентности.</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четко определены следующие положения:</w:t>
      </w:r>
    </w:p>
    <w:p w:rsidR="005661C0" w:rsidRPr="000E0324" w:rsidRDefault="00855820" w:rsidP="00903CB0">
      <w:pPr>
        <w:spacing w:before="8"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выбирают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значимые клинические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конечные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 рассчитаны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начало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проявления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организма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подлежит измерению и клинически значимо) и ее интенсивность;</w:t>
      </w:r>
    </w:p>
    <w:p w:rsidR="005661C0" w:rsidRPr="000E0324" w:rsidRDefault="00855820" w:rsidP="0063793B">
      <w:pPr>
        <w:spacing w:before="7" w:after="0" w:line="360" w:lineRule="auto"/>
        <w:ind w:left="102" w:right="3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размеры границ признания эквивалентности следует определять на основе анализа ситуации, принимая во внимание конкретные клинические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естественное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заболевания, эффективность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доступных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выбранные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искомые параметры.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отличие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 (где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допустимый</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групп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каждого терапевтического класса (и показания к применению) в индивидуальном порядке;</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настоящее время общепринятым для указанных клинических 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 использование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статистических методов,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доверительных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интервалов. Основная задача заключается в том, чтобы исследуемый лекарственный 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отличался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заданную величину.</w:t>
      </w:r>
    </w:p>
    <w:p w:rsidR="005661C0" w:rsidRPr="000E0324" w:rsidRDefault="00855820" w:rsidP="00903CB0">
      <w:pPr>
        <w:spacing w:before="5" w:after="0" w:line="360" w:lineRule="auto"/>
        <w:ind w:left="102" w:right="4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дизайне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 предусмотреть применение плацебо.</w:t>
      </w:r>
    </w:p>
    <w:p w:rsidR="005661C0" w:rsidRPr="000E0324" w:rsidRDefault="00855820" w:rsidP="00903CB0">
      <w:pPr>
        <w:spacing w:before="4" w:after="0" w:line="360"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некоторых случаях целесообразно включить в финальный сравнительный анализ конечные точки по оценке безопасности.</w:t>
      </w:r>
    </w:p>
    <w:p w:rsidR="005661C0" w:rsidRPr="000E0324" w:rsidRDefault="00855820" w:rsidP="00903CB0">
      <w:pPr>
        <w:spacing w:before="6"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 Требования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воспроизведенному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референтному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соответствовать указанным в подразделе 2 раздела </w:t>
      </w:r>
      <w:r w:rsidRPr="000E0324">
        <w:rPr>
          <w:rFonts w:ascii="Times New Roman" w:eastAsia="Times New Roman" w:hAnsi="Times New Roman" w:cs="Times New Roman"/>
          <w:sz w:val="24"/>
          <w:szCs w:val="24"/>
        </w:rPr>
        <w:t>III</w:t>
      </w:r>
      <w:r w:rsidRPr="000E0324">
        <w:rPr>
          <w:rFonts w:ascii="Times New Roman" w:eastAsia="Times New Roman" w:hAnsi="Times New Roman" w:cs="Times New Roman"/>
          <w:sz w:val="24"/>
          <w:szCs w:val="24"/>
          <w:lang w:val="ru-RU"/>
        </w:rPr>
        <w:t xml:space="preserve"> Правил проведения исследований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Евразийского 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экономической комиссией.</w:t>
      </w:r>
    </w:p>
    <w:p w:rsidR="005661C0" w:rsidRPr="000E0324" w:rsidRDefault="005661C0" w:rsidP="00903CB0">
      <w:pPr>
        <w:spacing w:after="0" w:line="360" w:lineRule="auto"/>
        <w:jc w:val="both"/>
        <w:rPr>
          <w:rFonts w:ascii="Times New Roman" w:eastAsia="Times New Roman" w:hAnsi="Times New Roman" w:cs="Times New Roman"/>
          <w:sz w:val="24"/>
          <w:szCs w:val="24"/>
          <w:lang w:val="ru-RU"/>
        </w:rPr>
      </w:pPr>
    </w:p>
    <w:p w:rsidR="0063793B" w:rsidRPr="000E0324" w:rsidRDefault="0063793B">
      <w:pP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br w:type="page"/>
      </w:r>
    </w:p>
    <w:p w:rsidR="005661C0" w:rsidRPr="000E0324" w:rsidRDefault="00855820" w:rsidP="00903CB0">
      <w:pPr>
        <w:spacing w:before="66" w:after="0" w:line="240" w:lineRule="auto"/>
        <w:ind w:left="5668" w:right="112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ПРИЛОЖЕНИЕ № 4</w:t>
      </w:r>
    </w:p>
    <w:p w:rsidR="005661C0" w:rsidRPr="000E0324" w:rsidRDefault="00855820" w:rsidP="00903CB0">
      <w:pPr>
        <w:spacing w:after="0" w:line="240" w:lineRule="auto"/>
        <w:ind w:left="4684" w:right="13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 Правилам проведения исследований биоэквивалентности лекарственных препаратов в рамках Евразийского экономического союза</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5661C0" w:rsidP="00903CB0">
      <w:pPr>
        <w:spacing w:before="4"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489" w:right="351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b/>
          <w:bCs/>
          <w:sz w:val="24"/>
          <w:szCs w:val="24"/>
          <w:lang w:val="ru-RU"/>
        </w:rPr>
        <w:t>ТРЕБОВАНИЯ</w:t>
      </w:r>
    </w:p>
    <w:p w:rsidR="005661C0" w:rsidRPr="000E0324" w:rsidRDefault="00855820" w:rsidP="00903CB0">
      <w:pPr>
        <w:spacing w:after="0" w:line="240" w:lineRule="auto"/>
        <w:ind w:left="1120" w:right="110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b/>
          <w:bCs/>
          <w:sz w:val="24"/>
          <w:szCs w:val="24"/>
          <w:lang w:val="ru-RU"/>
        </w:rPr>
        <w:t>к биовейверу</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b/>
          <w:bCs/>
          <w:sz w:val="24"/>
          <w:szCs w:val="24"/>
          <w:lang w:val="ru-RU"/>
        </w:rPr>
        <w:t>основанному на биофармацевтической системе классификации</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3429" w:right="3418"/>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w:t>
      </w:r>
      <w:r w:rsidRPr="000E0324">
        <w:rPr>
          <w:rFonts w:ascii="Times New Roman" w:eastAsia="Times New Roman" w:hAnsi="Times New Roman" w:cs="Times New Roman"/>
          <w:sz w:val="24"/>
          <w:szCs w:val="24"/>
          <w:lang w:val="ru-RU"/>
        </w:rPr>
        <w:t>. Общие положения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Биовейвер,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биофармацевтической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системе классификации (БКС), направлен на уменьшение количества 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служить заменой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избежать,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 xml:space="preserve"> подтверждается обоснованными данными, полученными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Pr="000E0324">
        <w:rPr>
          <w:rFonts w:ascii="Times New Roman" w:eastAsia="Times New Roman" w:hAnsi="Times New Roman" w:cs="Times New Roman"/>
          <w:sz w:val="24"/>
          <w:szCs w:val="24"/>
          <w:lang w:val="ru-RU"/>
        </w:rPr>
        <w:t>.</w:t>
      </w:r>
    </w:p>
    <w:p w:rsidR="005661C0" w:rsidRPr="000E0324" w:rsidRDefault="00855820" w:rsidP="0063793B">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Биовейвер, основанный на БКС, ограничен лекарственными препаратами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твердых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формах системного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немедленным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содержащими высоко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растворимые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предсказуемой абсорбцией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человека,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имеют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широкий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терапевтический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требований подраздела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Евразийского 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экономической космиссией).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неприменим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подъязычным,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защечным лекарственным формам и лекарственным формам с модифицированным</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 В отношении лекарственных форм, диспергирующихся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подход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исключена абсорбция из полости рта.</w:t>
      </w:r>
    </w:p>
    <w:p w:rsidR="005661C0" w:rsidRPr="000E0324" w:rsidRDefault="00855820" w:rsidP="00903CB0">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Биовейвер, основанный на БКС, предназначен для установления биоэквивалентности между определенными исследуемыми и референтными лекарственными препаратами. Принципы концепции биовейвера могут применяться для подтверждения биоэквивалентности воспроизведенных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расширений оригинальных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внесении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досье, требующих установления биоэквивалентности, для установления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препаратами, применявшимися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начальных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фазах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 также лекарственными препаратами, выводимыми на рынок.</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3350" w:right="334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II</w:t>
      </w:r>
      <w:r w:rsidRPr="000E0324">
        <w:rPr>
          <w:rFonts w:ascii="Times New Roman" w:eastAsia="Times New Roman" w:hAnsi="Times New Roman" w:cs="Times New Roman"/>
          <w:sz w:val="24"/>
          <w:szCs w:val="24"/>
          <w:lang w:val="ru-RU"/>
        </w:rPr>
        <w:t>. Общие требования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Биовейвер,</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основанный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лекарственному препарату с немедленным высвобождением при условии выполнения всех следующих требований:</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хорошо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подвергается полной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абсорбции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класс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Pr="000E0324">
        <w:rPr>
          <w:rFonts w:ascii="Times New Roman" w:eastAsia="Times New Roman" w:hAnsi="Times New Roman" w:cs="Times New Roman"/>
          <w:sz w:val="24"/>
          <w:szCs w:val="24"/>
          <w:lang w:val="ru-RU"/>
        </w:rPr>
        <w:t xml:space="preserve"> настоящих Требований;</w:t>
      </w:r>
    </w:p>
    <w:p w:rsidR="005661C0" w:rsidRPr="000E0324" w:rsidRDefault="00855820" w:rsidP="0063793B">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специальных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подразделом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IV</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характеристики 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 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очень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быстрые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(&gt;85 %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15 минут) или быстрые (85 % в течение 30 минут);</w:t>
      </w:r>
    </w:p>
    <w:p w:rsidR="005661C0" w:rsidRPr="000E0324" w:rsidRDefault="00855820" w:rsidP="00903CB0">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качественный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вспомогательных веществ, способных повлиять на биоэквивалентность, одинаковый. При 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целесообразно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одинаковые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вспомогательные вещества в сопоставимых количествах (в соответствии с требованиями подраздела 3 раздела </w:t>
      </w:r>
      <w:r w:rsidRPr="000E0324">
        <w:rPr>
          <w:rFonts w:ascii="Times New Roman" w:eastAsia="Times New Roman" w:hAnsi="Times New Roman" w:cs="Times New Roman"/>
          <w:sz w:val="24"/>
          <w:szCs w:val="24"/>
        </w:rPr>
        <w:t>IV</w:t>
      </w:r>
      <w:r w:rsidRPr="000E0324">
        <w:rPr>
          <w:rFonts w:ascii="Times New Roman" w:eastAsia="Times New Roman" w:hAnsi="Times New Roman" w:cs="Times New Roman"/>
          <w:sz w:val="24"/>
          <w:szCs w:val="24"/>
          <w:lang w:val="ru-RU"/>
        </w:rPr>
        <w:t xml:space="preserve"> настоящих Требований);</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отсутствуют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риски,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вероятностью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принять ошибочное заключение о возможности использования процедуры биовейвера,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величины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терапевтического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индекса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показаний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в составе лекарственного препарата.</w:t>
      </w:r>
    </w:p>
    <w:p w:rsidR="005661C0" w:rsidRPr="000E0324" w:rsidRDefault="00855820" w:rsidP="00903CB0">
      <w:pPr>
        <w:spacing w:before="4"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Биовейвер,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 лекарственному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немедленным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условии выполнения всех следующих требований:</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хорошо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подвергается ограниченной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абсорбции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класс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требований раздела </w:t>
      </w:r>
      <w:r w:rsidRPr="000E0324">
        <w:rPr>
          <w:rFonts w:ascii="Times New Roman" w:eastAsia="Times New Roman" w:hAnsi="Times New Roman" w:cs="Times New Roman"/>
          <w:sz w:val="24"/>
          <w:szCs w:val="24"/>
        </w:rPr>
        <w:t>III</w:t>
      </w:r>
      <w:r w:rsidRPr="000E0324">
        <w:rPr>
          <w:rFonts w:ascii="Times New Roman" w:eastAsia="Times New Roman" w:hAnsi="Times New Roman" w:cs="Times New Roman"/>
          <w:sz w:val="24"/>
          <w:szCs w:val="24"/>
          <w:lang w:val="ru-RU"/>
        </w:rPr>
        <w:t xml:space="preserve"> настоящего приложения);</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специальных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требованиями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IV</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Требований) характеристики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очень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быстрые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(&gt;85 % в течение 15 минут);</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качественный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вспомогательных веществ, способных повлиять на биоэквивалентность, одинаковый. При 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целесообразно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одинаковые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вспомогательные вещества в сопоставимых количествах (в соответствии с требованиями подраздела 3 раздела </w:t>
      </w:r>
      <w:r w:rsidRPr="000E0324">
        <w:rPr>
          <w:rFonts w:ascii="Times New Roman" w:eastAsia="Times New Roman" w:hAnsi="Times New Roman" w:cs="Times New Roman"/>
          <w:sz w:val="24"/>
          <w:szCs w:val="24"/>
        </w:rPr>
        <w:t>IV</w:t>
      </w:r>
      <w:r w:rsidRPr="000E0324">
        <w:rPr>
          <w:rFonts w:ascii="Times New Roman" w:eastAsia="Times New Roman" w:hAnsi="Times New Roman" w:cs="Times New Roman"/>
          <w:sz w:val="24"/>
          <w:szCs w:val="24"/>
          <w:lang w:val="ru-RU"/>
        </w:rPr>
        <w:t xml:space="preserve"> настоящих Требований);</w:t>
      </w:r>
    </w:p>
    <w:p w:rsidR="005661C0" w:rsidRPr="000E0324" w:rsidRDefault="00855820" w:rsidP="0063793B">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отсутствуют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риски,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вероятностью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принять ошибочное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заключение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процедуры</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биовейвера,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величины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терапевтического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индекса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показаний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составе лекарственного препарата.</w:t>
      </w:r>
    </w:p>
    <w:p w:rsidR="005661C0" w:rsidRPr="000E0324" w:rsidRDefault="00855820" w:rsidP="00903CB0">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 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критично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подходить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выполнения условий (например, место абсорбции, возможность взаимодействия с белками-переносчиками в месте абсорбции, состав вспомогательных 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терапевтические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риски)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 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класса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класса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 Возможность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 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принадлежит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классу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 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согласовать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Экспертным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комитетом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средствам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 экономической комиссии.</w:t>
      </w:r>
    </w:p>
    <w:p w:rsidR="005661C0" w:rsidRPr="000E0324" w:rsidRDefault="005661C0" w:rsidP="00903CB0">
      <w:pPr>
        <w:spacing w:before="7" w:after="0" w:line="240" w:lineRule="exact"/>
        <w:rPr>
          <w:rFonts w:ascii="Times New Roman" w:hAnsi="Times New Roman" w:cs="Times New Roman"/>
          <w:sz w:val="24"/>
          <w:szCs w:val="24"/>
          <w:lang w:val="ru-RU"/>
        </w:rPr>
      </w:pPr>
    </w:p>
    <w:p w:rsidR="000E0324" w:rsidRPr="000E0324" w:rsidRDefault="000E0324" w:rsidP="00903CB0">
      <w:pPr>
        <w:spacing w:after="0" w:line="240" w:lineRule="auto"/>
        <w:ind w:left="3032" w:right="-20"/>
        <w:rPr>
          <w:rFonts w:ascii="Times New Roman" w:eastAsia="Times New Roman" w:hAnsi="Times New Roman" w:cs="Times New Roman"/>
          <w:sz w:val="24"/>
          <w:szCs w:val="24"/>
        </w:rPr>
      </w:pPr>
    </w:p>
    <w:p w:rsidR="000E0324" w:rsidRPr="000E0324" w:rsidRDefault="000E0324" w:rsidP="00903CB0">
      <w:pPr>
        <w:spacing w:after="0" w:line="240" w:lineRule="auto"/>
        <w:ind w:left="3032" w:right="-20"/>
        <w:rPr>
          <w:rFonts w:ascii="Times New Roman" w:eastAsia="Times New Roman" w:hAnsi="Times New Roman" w:cs="Times New Roman"/>
          <w:sz w:val="24"/>
          <w:szCs w:val="24"/>
        </w:rPr>
      </w:pPr>
    </w:p>
    <w:p w:rsidR="005661C0" w:rsidRPr="000E0324" w:rsidRDefault="00855820" w:rsidP="00903CB0">
      <w:pPr>
        <w:spacing w:after="0" w:line="240" w:lineRule="auto"/>
        <w:ind w:left="3032"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lastRenderedPageBreak/>
        <w:t>III</w:t>
      </w:r>
      <w:r w:rsidRPr="000E0324">
        <w:rPr>
          <w:rFonts w:ascii="Times New Roman" w:eastAsia="Times New Roman" w:hAnsi="Times New Roman" w:cs="Times New Roman"/>
          <w:sz w:val="24"/>
          <w:szCs w:val="24"/>
          <w:lang w:val="ru-RU"/>
        </w:rPr>
        <w:t>. Действующее вещество</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подпадающего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концепцию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биовейвера,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литературных 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изложенных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реферируемых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(цитируемых) научных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изданиях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уполномоченных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органов (организаций) в сфере обращения лекарственных средств.</w:t>
      </w:r>
    </w:p>
    <w:p w:rsidR="005661C0" w:rsidRPr="000E0324" w:rsidRDefault="00855820" w:rsidP="0063793B">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 лекарственных препаратов одинаковые, возможен биовейвер. Биовейвер 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лекарственные препараты содержат различные соли при условии их принадлежности к </w:t>
      </w:r>
      <w:r w:rsidRPr="000E0324">
        <w:rPr>
          <w:rFonts w:ascii="Times New Roman" w:eastAsia="Times New Roman" w:hAnsi="Times New Roman" w:cs="Times New Roman"/>
          <w:sz w:val="24"/>
          <w:szCs w:val="24"/>
        </w:rPr>
        <w:t>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классу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растворимость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абсорбция в соответствии с требованиями подразделов 1 и 2 раздела </w:t>
      </w:r>
      <w:r w:rsidRPr="000E0324">
        <w:rPr>
          <w:rFonts w:ascii="Times New Roman" w:eastAsia="Times New Roman" w:hAnsi="Times New Roman" w:cs="Times New Roman"/>
          <w:sz w:val="24"/>
          <w:szCs w:val="24"/>
        </w:rPr>
        <w:t>III</w:t>
      </w:r>
      <w:r w:rsidRPr="000E0324">
        <w:rPr>
          <w:rFonts w:ascii="Times New Roman" w:eastAsia="Times New Roman" w:hAnsi="Times New Roman" w:cs="Times New Roman"/>
          <w:sz w:val="24"/>
          <w:szCs w:val="24"/>
          <w:lang w:val="ru-RU"/>
        </w:rPr>
        <w:t xml:space="preserve"> настоящих Требований).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содержит сложные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эфиры,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стереоизомеры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смеси,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комплексы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производные действующего вещества референтного 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биовейвер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невозможен,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поскольку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привести к различной биодоступности, не выявляемой с помощью экспериментов, используемых в концепции биовейвера, основанного на БКС.</w:t>
      </w:r>
    </w:p>
    <w:p w:rsidR="005661C0" w:rsidRPr="000E0324" w:rsidRDefault="00855820" w:rsidP="00903CB0">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обладать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узким терапевтическим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требованиями подраздела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Евразийского 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экономической комиссией).</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628" w:right="3618"/>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Растворимость</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1" w:lineRule="auto"/>
        <w:ind w:left="102" w:right="3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проанализировать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профиль </w:t>
      </w:r>
      <w:r w:rsidRPr="000E0324">
        <w:rPr>
          <w:rFonts w:ascii="Times New Roman" w:eastAsia="Times New Roman" w:hAnsi="Times New Roman" w:cs="Times New Roman"/>
          <w:sz w:val="24"/>
          <w:szCs w:val="24"/>
        </w:rPr>
        <w:t>pH</w:t>
      </w:r>
      <w:r w:rsidRPr="000E0324">
        <w:rPr>
          <w:rFonts w:ascii="Times New Roman" w:eastAsia="Times New Roman" w:hAnsi="Times New Roman" w:cs="Times New Roman"/>
          <w:sz w:val="24"/>
          <w:szCs w:val="24"/>
          <w:lang w:val="ru-RU"/>
        </w:rPr>
        <w:t>-растворимости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 признается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хорошо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растворимым,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37±1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 максимальная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однократная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немедленным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250 мл буферного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pH</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6,8.</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 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буферными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различными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pH</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находящимся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вышеуказанном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диапазоне (предпочтительно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pH</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6,8)</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pKa</w:t>
      </w:r>
      <w:r w:rsidRPr="000E0324">
        <w:rPr>
          <w:rFonts w:ascii="Times New Roman" w:eastAsia="Times New Roman" w:hAnsi="Times New Roman" w:cs="Times New Roman"/>
          <w:sz w:val="24"/>
          <w:szCs w:val="24"/>
          <w:lang w:val="ru-RU"/>
        </w:rPr>
        <w:t>,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находится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pH</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однозначного 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классификационной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принадлежности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растворимости 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понадобиться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pH</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 метод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встряхивания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подходящий). </w:t>
      </w:r>
      <w:r w:rsidRPr="000E0324">
        <w:rPr>
          <w:rFonts w:ascii="Times New Roman" w:eastAsia="Times New Roman" w:hAnsi="Times New Roman" w:cs="Times New Roman"/>
          <w:sz w:val="24"/>
          <w:szCs w:val="24"/>
        </w:rPr>
        <w:t>pH</w:t>
      </w:r>
      <w:r w:rsidRPr="000E0324">
        <w:rPr>
          <w:rFonts w:ascii="Times New Roman" w:eastAsia="Times New Roman" w:hAnsi="Times New Roman" w:cs="Times New Roman"/>
          <w:sz w:val="24"/>
          <w:szCs w:val="24"/>
          <w:lang w:val="ru-RU"/>
        </w:rPr>
        <w:t xml:space="preserve"> раствора следует определять до и после добавления действующего вещества в буфер.</w:t>
      </w:r>
    </w:p>
    <w:p w:rsidR="005661C0" w:rsidRPr="000E0324" w:rsidRDefault="005661C0" w:rsidP="00903CB0">
      <w:pPr>
        <w:spacing w:before="6" w:after="0" w:line="220" w:lineRule="exact"/>
        <w:rPr>
          <w:rFonts w:ascii="Times New Roman" w:hAnsi="Times New Roman" w:cs="Times New Roman"/>
          <w:sz w:val="24"/>
          <w:szCs w:val="24"/>
          <w:lang w:val="ru-RU"/>
        </w:rPr>
      </w:pPr>
    </w:p>
    <w:p w:rsidR="005661C0" w:rsidRPr="000E0324" w:rsidRDefault="00855820" w:rsidP="00903CB0">
      <w:pPr>
        <w:spacing w:before="21" w:after="0" w:line="240" w:lineRule="auto"/>
        <w:ind w:left="1993"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Всасывание (проникающая способность)</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4"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заявлении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 биовейвер, основанный на БКС, рекомендуется подтвердить полную абсорбцию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человека.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 полным всасыванием понимают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абсорбцию ≥85 %. Полное всасывание обычно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обусловлено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проникающей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способностью действующего вещества через кишечный </w:t>
      </w:r>
      <w:r w:rsidRPr="000E0324">
        <w:rPr>
          <w:rFonts w:ascii="Times New Roman" w:eastAsia="Times New Roman" w:hAnsi="Times New Roman" w:cs="Times New Roman"/>
          <w:sz w:val="24"/>
          <w:szCs w:val="24"/>
          <w:lang w:val="ru-RU"/>
        </w:rPr>
        <w:lastRenderedPageBreak/>
        <w:t>барьер.</w:t>
      </w:r>
    </w:p>
    <w:p w:rsidR="005661C0" w:rsidRPr="000E0324" w:rsidRDefault="00855820" w:rsidP="00903CB0">
      <w:pPr>
        <w:spacing w:before="1"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 Наличие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всасывания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обосновано исследованиями у человека. В качестве обоснования допускается использовать результаты исследований:</w:t>
      </w:r>
    </w:p>
    <w:p w:rsidR="005661C0" w:rsidRPr="000E0324" w:rsidRDefault="00855820" w:rsidP="000E0324">
      <w:pPr>
        <w:spacing w:before="1"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абсолютной биодоступности;</w:t>
      </w:r>
    </w:p>
    <w:p w:rsidR="005661C0" w:rsidRPr="000E0324" w:rsidRDefault="00855820" w:rsidP="000E0324">
      <w:pPr>
        <w:spacing w:before="1"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материального баланса.</w:t>
      </w:r>
    </w:p>
    <w:p w:rsidR="005661C0" w:rsidRPr="000E0324" w:rsidRDefault="00855820" w:rsidP="000E0324">
      <w:pPr>
        <w:spacing w:before="1"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При использовании метода материального баланса для вычисления всосавшейся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фракции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удостовериться,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метаболиты, учтенные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всосавшейся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фракции,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образовались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 абсорбции.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радиоактивности, экскретируемой с мочой, необходимо удостовериться, что в желудочном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кишечном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произошла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частичная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деградация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биотрансформация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неизмененного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Реакции </w:t>
      </w:r>
      <w:r w:rsidRPr="000E0324">
        <w:rPr>
          <w:rFonts w:ascii="Times New Roman" w:eastAsia="Times New Roman" w:hAnsi="Times New Roman" w:cs="Times New Roman"/>
          <w:sz w:val="24"/>
          <w:szCs w:val="24"/>
        </w:rPr>
        <w:t>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окисление)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конъюгация) метаболизма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происходить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лишь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абсорбции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желудочном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кишечном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основываясь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 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материального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баланса,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всасывание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признается полным,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моче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его метаболитов (прошедших </w:t>
      </w:r>
      <w:r w:rsidRPr="000E0324">
        <w:rPr>
          <w:rFonts w:ascii="Times New Roman" w:eastAsia="Times New Roman" w:hAnsi="Times New Roman" w:cs="Times New Roman"/>
          <w:sz w:val="24"/>
          <w:szCs w:val="24"/>
        </w:rPr>
        <w:t>I</w:t>
      </w:r>
      <w:r w:rsidRPr="000E0324">
        <w:rPr>
          <w:rFonts w:ascii="Times New Roman" w:eastAsia="Times New Roman" w:hAnsi="Times New Roman" w:cs="Times New Roman"/>
          <w:sz w:val="24"/>
          <w:szCs w:val="24"/>
          <w:lang w:val="ru-RU"/>
        </w:rPr>
        <w:t xml:space="preserve"> и (или) </w:t>
      </w:r>
      <w:r w:rsidRPr="000E0324">
        <w:rPr>
          <w:rFonts w:ascii="Times New Roman" w:eastAsia="Times New Roman" w:hAnsi="Times New Roman" w:cs="Times New Roman"/>
          <w:sz w:val="24"/>
          <w:szCs w:val="24"/>
        </w:rPr>
        <w:t>II</w:t>
      </w:r>
      <w:r w:rsidRPr="000E0324">
        <w:rPr>
          <w:rFonts w:ascii="Times New Roman" w:eastAsia="Times New Roman" w:hAnsi="Times New Roman" w:cs="Times New Roman"/>
          <w:sz w:val="24"/>
          <w:szCs w:val="24"/>
          <w:lang w:val="ru-RU"/>
        </w:rPr>
        <w:t xml:space="preserve"> фазы метаболизма) в моче и кале составляет ≥85 % от принятой дозы.</w:t>
      </w:r>
    </w:p>
    <w:p w:rsidR="005661C0" w:rsidRPr="000E0324" w:rsidRDefault="00855820" w:rsidP="00903CB0">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 Кроме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растворимые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неполным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всасыванием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класс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подпадать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 биовейвер,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выполняются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составу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(в соответствии с подразделом 3 раздела </w:t>
      </w:r>
      <w:r w:rsidRPr="000E0324">
        <w:rPr>
          <w:rFonts w:ascii="Times New Roman" w:eastAsia="Times New Roman" w:hAnsi="Times New Roman" w:cs="Times New Roman"/>
          <w:sz w:val="24"/>
          <w:szCs w:val="24"/>
        </w:rPr>
        <w:t>IV</w:t>
      </w:r>
      <w:r w:rsidRPr="000E0324">
        <w:rPr>
          <w:rFonts w:ascii="Times New Roman" w:eastAsia="Times New Roman" w:hAnsi="Times New Roman" w:cs="Times New Roman"/>
          <w:sz w:val="24"/>
          <w:szCs w:val="24"/>
          <w:lang w:val="ru-RU"/>
        </w:rPr>
        <w:t xml:space="preserve"> настоящих Требований). При отнесении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классу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обоснованных доказательств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пользу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всасывания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 предъявляются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жесткие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 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клинических исследований).</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12. Одним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водными растворами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твердыми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любого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соединения, принимаемого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существенных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профиле абсорбции, обусловленных различиями в лекарственной форме с быстрым высвобождением.</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Установленная биоэквивалентность между водной и твердой лекарственными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немедленного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некоторого соединения,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принимаемого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принимается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 подтверждения,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поскольку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свидетельствует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ограничение абсорбции,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обусловленное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формы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немедленным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является незначительным. Качественные исследования проницаемости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Pr="000E0324">
        <w:rPr>
          <w:rFonts w:ascii="Times New Roman" w:eastAsia="Times New Roman" w:hAnsi="Times New Roman" w:cs="Times New Roman"/>
          <w:sz w:val="24"/>
          <w:szCs w:val="24"/>
          <w:lang w:val="ru-RU"/>
        </w:rPr>
        <w:t>, в 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также свидетельствуют в пользу результатов, полученных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w:t>
      </w:r>
    </w:p>
    <w:p w:rsidR="005661C0" w:rsidRPr="000E0324" w:rsidRDefault="005661C0" w:rsidP="00903CB0">
      <w:pPr>
        <w:spacing w:before="6" w:after="0" w:line="220" w:lineRule="exact"/>
        <w:rPr>
          <w:rFonts w:ascii="Times New Roman" w:hAnsi="Times New Roman" w:cs="Times New Roman"/>
          <w:sz w:val="24"/>
          <w:szCs w:val="24"/>
          <w:lang w:val="ru-RU"/>
        </w:rPr>
      </w:pPr>
    </w:p>
    <w:p w:rsidR="000E0324" w:rsidRPr="000E0324" w:rsidRDefault="000E0324" w:rsidP="00903CB0">
      <w:pPr>
        <w:spacing w:before="21" w:after="0" w:line="240" w:lineRule="auto"/>
        <w:ind w:left="2903" w:right="2894"/>
        <w:jc w:val="center"/>
        <w:rPr>
          <w:rFonts w:ascii="Times New Roman" w:eastAsia="Times New Roman" w:hAnsi="Times New Roman" w:cs="Times New Roman"/>
          <w:sz w:val="24"/>
          <w:szCs w:val="24"/>
        </w:rPr>
      </w:pPr>
    </w:p>
    <w:p w:rsidR="000E0324" w:rsidRPr="000E0324" w:rsidRDefault="000E0324" w:rsidP="00903CB0">
      <w:pPr>
        <w:spacing w:before="21" w:after="0" w:line="240" w:lineRule="auto"/>
        <w:ind w:left="2903" w:right="2894"/>
        <w:jc w:val="center"/>
        <w:rPr>
          <w:rFonts w:ascii="Times New Roman" w:eastAsia="Times New Roman" w:hAnsi="Times New Roman" w:cs="Times New Roman"/>
          <w:sz w:val="24"/>
          <w:szCs w:val="24"/>
        </w:rPr>
      </w:pPr>
    </w:p>
    <w:p w:rsidR="000E0324" w:rsidRPr="000E0324" w:rsidRDefault="000E0324" w:rsidP="00903CB0">
      <w:pPr>
        <w:spacing w:before="21" w:after="0" w:line="240" w:lineRule="auto"/>
        <w:ind w:left="2903" w:right="2894"/>
        <w:jc w:val="center"/>
        <w:rPr>
          <w:rFonts w:ascii="Times New Roman" w:eastAsia="Times New Roman" w:hAnsi="Times New Roman" w:cs="Times New Roman"/>
          <w:sz w:val="24"/>
          <w:szCs w:val="24"/>
        </w:rPr>
      </w:pPr>
    </w:p>
    <w:p w:rsidR="000E0324" w:rsidRPr="000E0324" w:rsidRDefault="000E0324" w:rsidP="00903CB0">
      <w:pPr>
        <w:spacing w:before="21" w:after="0" w:line="240" w:lineRule="auto"/>
        <w:ind w:left="2903" w:right="2894"/>
        <w:jc w:val="center"/>
        <w:rPr>
          <w:rFonts w:ascii="Times New Roman" w:eastAsia="Times New Roman" w:hAnsi="Times New Roman" w:cs="Times New Roman"/>
          <w:sz w:val="24"/>
          <w:szCs w:val="24"/>
        </w:rPr>
      </w:pPr>
    </w:p>
    <w:p w:rsidR="000E0324" w:rsidRPr="000E0324" w:rsidRDefault="000E0324" w:rsidP="00903CB0">
      <w:pPr>
        <w:spacing w:before="21" w:after="0" w:line="240" w:lineRule="auto"/>
        <w:ind w:left="2903" w:right="2894"/>
        <w:jc w:val="center"/>
        <w:rPr>
          <w:rFonts w:ascii="Times New Roman" w:eastAsia="Times New Roman" w:hAnsi="Times New Roman" w:cs="Times New Roman"/>
          <w:sz w:val="24"/>
          <w:szCs w:val="24"/>
        </w:rPr>
      </w:pPr>
    </w:p>
    <w:p w:rsidR="005661C0" w:rsidRPr="000E0324" w:rsidRDefault="00855820" w:rsidP="00903CB0">
      <w:pPr>
        <w:spacing w:before="21" w:after="0" w:line="240" w:lineRule="auto"/>
        <w:ind w:left="2903" w:right="2894"/>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lastRenderedPageBreak/>
        <w:t>IV</w:t>
      </w:r>
      <w:r w:rsidRPr="000E0324">
        <w:rPr>
          <w:rFonts w:ascii="Times New Roman" w:eastAsia="Times New Roman" w:hAnsi="Times New Roman" w:cs="Times New Roman"/>
          <w:sz w:val="24"/>
          <w:szCs w:val="24"/>
          <w:lang w:val="ru-RU"/>
        </w:rPr>
        <w:t>. Лекарственный препарат</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840" w:right="1830"/>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1. Проведение теста сравнительной кинетики растворения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63793B">
      <w:pPr>
        <w:spacing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13.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доказать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немедленное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сопоставимость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исследуемых лекарственных препаратов, то есть подтвердить сопоставимую кинетику 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референтным лекарственными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физиологических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pH</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эксперимента.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позволяет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установить корреляцию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Кинетику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следует изучить в диапазоне </w:t>
      </w:r>
      <w:r w:rsidRPr="000E0324">
        <w:rPr>
          <w:rFonts w:ascii="Times New Roman" w:eastAsia="Times New Roman" w:hAnsi="Times New Roman" w:cs="Times New Roman"/>
          <w:sz w:val="24"/>
          <w:szCs w:val="24"/>
        </w:rPr>
        <w:t>pH</w:t>
      </w:r>
      <w:r w:rsidRPr="000E0324">
        <w:rPr>
          <w:rFonts w:ascii="Times New Roman" w:eastAsia="Times New Roman" w:hAnsi="Times New Roman" w:cs="Times New Roman"/>
          <w:sz w:val="24"/>
          <w:szCs w:val="24"/>
          <w:lang w:val="ru-RU"/>
        </w:rPr>
        <w:t xml:space="preserve"> 1,0-6,8 (не менее чем при 3 значениях </w:t>
      </w:r>
      <w:r w:rsidRPr="000E0324">
        <w:rPr>
          <w:rFonts w:ascii="Times New Roman" w:eastAsia="Times New Roman" w:hAnsi="Times New Roman" w:cs="Times New Roman"/>
          <w:sz w:val="24"/>
          <w:szCs w:val="24"/>
        </w:rPr>
        <w:t>pH</w:t>
      </w:r>
      <w:r w:rsidRPr="000E0324">
        <w:rPr>
          <w:rFonts w:ascii="Times New Roman" w:eastAsia="Times New Roman" w:hAnsi="Times New Roman" w:cs="Times New Roman"/>
          <w:sz w:val="24"/>
          <w:szCs w:val="24"/>
          <w:lang w:val="ru-RU"/>
        </w:rPr>
        <w:t>: 1,2,</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4,5 и 6,8). Дополнительные исследования могут потребоваться при </w:t>
      </w:r>
      <w:r w:rsidRPr="000E0324">
        <w:rPr>
          <w:rFonts w:ascii="Times New Roman" w:eastAsia="Times New Roman" w:hAnsi="Times New Roman" w:cs="Times New Roman"/>
          <w:sz w:val="24"/>
          <w:szCs w:val="24"/>
        </w:rPr>
        <w:t>pH</w:t>
      </w:r>
      <w:r w:rsidRPr="000E0324">
        <w:rPr>
          <w:rFonts w:ascii="Times New Roman" w:eastAsia="Times New Roman" w:hAnsi="Times New Roman" w:cs="Times New Roman"/>
          <w:sz w:val="24"/>
          <w:szCs w:val="24"/>
          <w:lang w:val="ru-RU"/>
        </w:rPr>
        <w:t xml:space="preserve"> с наименьшей растворимостью действующего вещества (следует представить обоснование отсутствия необходимости таких исследований). Использование каких-либо поверхностно-активных веществ не допускается.</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14. Исследуемый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препараты 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изложенным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подразделе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 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экономического 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комиссией.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 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исследуемых лекарственных препаратов.</w:t>
      </w:r>
    </w:p>
    <w:p w:rsidR="005661C0" w:rsidRPr="000E0324" w:rsidRDefault="00855820" w:rsidP="0063793B">
      <w:pPr>
        <w:spacing w:before="4"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15. Сравнительные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 соответствовать требованиям Фармакопеи Евразийского экономического 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подробное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описание условий исследования и аналитических методик, включая данные по их</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достоверности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эксперимент рекомендуется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 препарата. Стандартные условия исследования, включают:</w:t>
      </w:r>
    </w:p>
    <w:p w:rsidR="0063793B" w:rsidRPr="000E0324" w:rsidRDefault="00855820" w:rsidP="00903CB0">
      <w:pPr>
        <w:spacing w:before="7" w:after="0" w:line="367" w:lineRule="auto"/>
        <w:ind w:left="810" w:right="294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прибор: лопастная мешалка или корзинка; </w:t>
      </w:r>
    </w:p>
    <w:p w:rsidR="0063793B" w:rsidRPr="000E0324" w:rsidRDefault="00855820" w:rsidP="00903CB0">
      <w:pPr>
        <w:spacing w:before="7" w:after="0" w:line="367" w:lineRule="auto"/>
        <w:ind w:left="810" w:right="294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объем среды растворения: 900 мл или менее; </w:t>
      </w:r>
    </w:p>
    <w:p w:rsidR="005661C0" w:rsidRPr="000E0324" w:rsidRDefault="00855820" w:rsidP="00903CB0">
      <w:pPr>
        <w:spacing w:before="7" w:after="0" w:line="367" w:lineRule="auto"/>
        <w:ind w:left="810" w:right="294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температура среды растворения: 37±1 °С;</w:t>
      </w:r>
    </w:p>
    <w:p w:rsidR="005661C0" w:rsidRPr="000E0324" w:rsidRDefault="00855820" w:rsidP="00903CB0">
      <w:pPr>
        <w:spacing w:before="9"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скорость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вращения: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лопастная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мешалка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обычно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оборотов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минуту, корзинка – обычно 100 оборотов в минуту;</w:t>
      </w:r>
    </w:p>
    <w:p w:rsidR="005661C0" w:rsidRPr="000E0324" w:rsidRDefault="00855820" w:rsidP="000E0324">
      <w:pPr>
        <w:spacing w:before="9"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схема отбора проб: например, на 10, 15, 20, 30 и 45 минутах;</w:t>
      </w:r>
    </w:p>
    <w:p w:rsidR="005661C0" w:rsidRPr="000E0324" w:rsidRDefault="00855820" w:rsidP="000E0324">
      <w:pPr>
        <w:spacing w:before="9"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буферные растворы: pH 1,0 – 1,2 (обычно 0,1 М HCl или имитация желудочного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ферментов),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6,8</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имитация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кишечного сока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ферментов),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pH</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регулярно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контролироваться. Рекомендуется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буферные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Фармакопее Евразийского экономического союза;</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прочие условия: отсутствие поверхностно-активных веществ. Применение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ферментов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желатиновых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капсул или таблеток, покрытых желатиновой оболочкой.</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16.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о проведении теста сравнительной кинетики растворения (ТСКР)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Pr="000E0324">
        <w:rPr>
          <w:rFonts w:ascii="Times New Roman" w:eastAsia="Times New Roman" w:hAnsi="Times New Roman" w:cs="Times New Roman"/>
          <w:sz w:val="24"/>
          <w:szCs w:val="24"/>
          <w:lang w:val="ru-RU"/>
        </w:rPr>
        <w:t>, включая протокол исследования, сведения об исследуемых сериях и сериях сравнения, подробное описание экспериментальных условий, 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индивидуальные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средние значения, а также соответствующие обобщающие статистики и др.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7</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 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 Евразийского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 экономической комиссией.</w:t>
      </w:r>
    </w:p>
    <w:p w:rsidR="005661C0" w:rsidRPr="000E0324" w:rsidRDefault="005661C0" w:rsidP="00903CB0">
      <w:pPr>
        <w:spacing w:before="6" w:after="0" w:line="220" w:lineRule="exact"/>
        <w:rPr>
          <w:rFonts w:ascii="Times New Roman" w:hAnsi="Times New Roman" w:cs="Times New Roman"/>
          <w:sz w:val="24"/>
          <w:szCs w:val="24"/>
          <w:lang w:val="ru-RU"/>
        </w:rPr>
      </w:pPr>
    </w:p>
    <w:p w:rsidR="005661C0" w:rsidRPr="000E0324" w:rsidRDefault="00855820" w:rsidP="00903CB0">
      <w:pPr>
        <w:spacing w:before="21" w:after="0" w:line="240" w:lineRule="auto"/>
        <w:ind w:left="1989" w:right="1982"/>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2. Оценка результатов теста сравнительной кинетики растворения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p>
    <w:p w:rsidR="005661C0" w:rsidRPr="000E0324" w:rsidRDefault="005661C0" w:rsidP="00903CB0">
      <w:pPr>
        <w:spacing w:before="20" w:after="0" w:line="22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17. Лекарственные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признаются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очень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быстро растворимыми,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85 %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заявленного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профили 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 признаются сопоставимыми без дальнейших математических расчетов.</w:t>
      </w:r>
    </w:p>
    <w:p w:rsidR="005661C0" w:rsidRPr="000E0324" w:rsidRDefault="00855820" w:rsidP="00903CB0">
      <w:pPr>
        <w:spacing w:before="7" w:after="0" w:line="358" w:lineRule="auto"/>
        <w:ind w:left="102" w:right="3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процесс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85 %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 заявленного содержания действующего вещества длится более 15 минут, 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доказать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отсутствие значимых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(сопоставимость).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подтверждения сопоставимости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f</w:t>
      </w:r>
      <w:r w:rsidRPr="000E0324">
        <w:rPr>
          <w:rFonts w:ascii="Times New Roman" w:eastAsia="Times New Roman" w:hAnsi="Times New Roman" w:cs="Times New Roman"/>
          <w:i/>
          <w:position w:val="-4"/>
          <w:sz w:val="24"/>
          <w:szCs w:val="24"/>
          <w:lang w:val="ru-RU"/>
        </w:rPr>
        <w:t>2</w:t>
      </w:r>
      <w:r w:rsidR="00903CB0" w:rsidRPr="000E0324">
        <w:rPr>
          <w:rFonts w:ascii="Times New Roman" w:eastAsia="Times New Roman" w:hAnsi="Times New Roman" w:cs="Times New Roman"/>
          <w:i/>
          <w:position w:val="-4"/>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требованиями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установленными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Правилам 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 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 утверждаемых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комиссией)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другие подходящие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тесты.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объяснение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профилях 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терапевтических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позиций нецелесообразно,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поскольку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отражает корреляцию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826" w:right="2820"/>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Вспомогательные вещества</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63793B">
      <w:pPr>
        <w:spacing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18. Несмотря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 содержащихся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немедленным высвобождением, на биодоступность хорошо растворимых и полностью всасывающихся действующих веществ (то есть относящихся к </w:t>
      </w:r>
      <w:r w:rsidRPr="000E0324">
        <w:rPr>
          <w:rFonts w:ascii="Times New Roman" w:eastAsia="Times New Roman" w:hAnsi="Times New Roman" w:cs="Times New Roman"/>
          <w:sz w:val="24"/>
          <w:szCs w:val="24"/>
        </w:rPr>
        <w:t>I</w:t>
      </w:r>
      <w:r w:rsidRPr="000E0324">
        <w:rPr>
          <w:rFonts w:ascii="Times New Roman" w:eastAsia="Times New Roman" w:hAnsi="Times New Roman" w:cs="Times New Roman"/>
          <w:sz w:val="24"/>
          <w:szCs w:val="24"/>
          <w:lang w:val="ru-RU"/>
        </w:rPr>
        <w:t xml:space="preserve"> классу 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считается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маловероятным,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нельзя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исключать.</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В связи с этим во всех случаях (в том числе с действующим веществом </w:t>
      </w:r>
      <w:r w:rsidRPr="000E0324">
        <w:rPr>
          <w:rFonts w:ascii="Times New Roman" w:eastAsia="Times New Roman" w:hAnsi="Times New Roman" w:cs="Times New Roman"/>
          <w:sz w:val="24"/>
          <w:szCs w:val="24"/>
        </w:rPr>
        <w:t>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класса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препарате рекомендуется использовать схожие количества тех же вспомогательных веществ, что и в референтном лекарственном препарате.</w:t>
      </w:r>
    </w:p>
    <w:p w:rsidR="005661C0" w:rsidRPr="000E0324" w:rsidRDefault="00855820" w:rsidP="0063793B">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19.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мембранные переносчики одним из условий биовейвера в отношении действующего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класса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качественному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сопоставимость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составу вспомогательных веществ в соответствии с критериями, приведенными</w:t>
      </w:r>
      <w:r w:rsidR="0063793B"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position w:val="-1"/>
          <w:sz w:val="24"/>
          <w:szCs w:val="24"/>
          <w:lang w:val="ru-RU"/>
        </w:rPr>
        <w:t>в таблице.</w:t>
      </w:r>
    </w:p>
    <w:p w:rsidR="005661C0" w:rsidRPr="000E0324" w:rsidRDefault="005661C0" w:rsidP="00903CB0">
      <w:pPr>
        <w:spacing w:before="6" w:after="0" w:line="150" w:lineRule="exact"/>
        <w:rPr>
          <w:rFonts w:ascii="Times New Roman" w:hAnsi="Times New Roman" w:cs="Times New Roman"/>
          <w:sz w:val="24"/>
          <w:szCs w:val="24"/>
          <w:lang w:val="ru-RU"/>
        </w:rPr>
      </w:pPr>
    </w:p>
    <w:p w:rsidR="005661C0" w:rsidRPr="000E0324" w:rsidRDefault="00855820" w:rsidP="00BD2893">
      <w:pPr>
        <w:spacing w:before="21" w:after="0" w:line="240" w:lineRule="auto"/>
        <w:ind w:left="352" w:right="90" w:firstLine="215"/>
        <w:jc w:val="right"/>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Рекомендуемые критерии для установления высокой сопоставимости лекарственных препаратов по количественному составу вспомогательных веществ</w:t>
      </w:r>
    </w:p>
    <w:p w:rsidR="0063793B" w:rsidRPr="000E0324" w:rsidRDefault="0063793B" w:rsidP="00BD2893">
      <w:pPr>
        <w:spacing w:before="21" w:after="0" w:line="240" w:lineRule="auto"/>
        <w:ind w:left="352" w:right="90" w:hanging="68"/>
        <w:rPr>
          <w:rFonts w:ascii="Times New Roman" w:eastAsia="Times New Roman" w:hAnsi="Times New Roman" w:cs="Times New Roman"/>
          <w:sz w:val="24"/>
          <w:szCs w:val="24"/>
          <w:lang w:val="ru-RU"/>
        </w:rPr>
      </w:pPr>
    </w:p>
    <w:tbl>
      <w:tblPr>
        <w:tblOverlap w:val="never"/>
        <w:tblW w:w="9369" w:type="dxa"/>
        <w:jc w:val="center"/>
        <w:tblLayout w:type="fixed"/>
        <w:tblCellMar>
          <w:left w:w="10" w:type="dxa"/>
          <w:right w:w="10" w:type="dxa"/>
        </w:tblCellMar>
        <w:tblLook w:val="04A0" w:firstRow="1" w:lastRow="0" w:firstColumn="1" w:lastColumn="0" w:noHBand="0" w:noVBand="1"/>
      </w:tblPr>
      <w:tblGrid>
        <w:gridCol w:w="5678"/>
        <w:gridCol w:w="3691"/>
      </w:tblGrid>
      <w:tr w:rsidR="00BD2893" w:rsidRPr="000E0324" w:rsidTr="00BD2893">
        <w:trPr>
          <w:jc w:val="center"/>
        </w:trPr>
        <w:tc>
          <w:tcPr>
            <w:tcW w:w="5678" w:type="dxa"/>
            <w:tcBorders>
              <w:top w:val="single" w:sz="4" w:space="0" w:color="auto"/>
              <w:left w:val="single" w:sz="4" w:space="0" w:color="auto"/>
            </w:tcBorders>
            <w:shd w:val="clear" w:color="auto" w:fill="FFFFFF"/>
          </w:tcPr>
          <w:p w:rsidR="00BD2893" w:rsidRPr="000E0324" w:rsidRDefault="00BD2893" w:rsidP="000E0324">
            <w:pPr>
              <w:pStyle w:val="Bodytext20"/>
              <w:shd w:val="clear" w:color="auto" w:fill="auto"/>
              <w:spacing w:before="0" w:after="120" w:line="240" w:lineRule="auto"/>
              <w:ind w:right="-6"/>
              <w:jc w:val="center"/>
              <w:rPr>
                <w:sz w:val="24"/>
                <w:szCs w:val="24"/>
              </w:rPr>
            </w:pPr>
            <w:r w:rsidRPr="000E0324">
              <w:rPr>
                <w:rStyle w:val="Bodytext215pt"/>
                <w:b w:val="0"/>
                <w:sz w:val="24"/>
                <w:szCs w:val="24"/>
              </w:rPr>
              <w:t>Тип вспомогательного вещества</w:t>
            </w:r>
          </w:p>
        </w:tc>
        <w:tc>
          <w:tcPr>
            <w:tcW w:w="3691" w:type="dxa"/>
            <w:tcBorders>
              <w:top w:val="single" w:sz="4" w:space="0" w:color="auto"/>
              <w:left w:val="single" w:sz="4" w:space="0" w:color="auto"/>
              <w:right w:val="single" w:sz="4" w:space="0" w:color="auto"/>
            </w:tcBorders>
            <w:shd w:val="clear" w:color="auto" w:fill="FFFFFF"/>
          </w:tcPr>
          <w:p w:rsidR="00BD2893" w:rsidRPr="000E0324" w:rsidRDefault="00BD2893" w:rsidP="000E0324">
            <w:pPr>
              <w:pStyle w:val="Bodytext20"/>
              <w:shd w:val="clear" w:color="auto" w:fill="auto"/>
              <w:spacing w:before="0" w:after="120" w:line="240" w:lineRule="auto"/>
              <w:ind w:right="-6"/>
              <w:jc w:val="center"/>
              <w:rPr>
                <w:sz w:val="24"/>
                <w:szCs w:val="24"/>
                <w:lang w:val="ru-RU"/>
              </w:rPr>
            </w:pPr>
            <w:r w:rsidRPr="000E0324">
              <w:rPr>
                <w:rStyle w:val="Bodytext215pt"/>
                <w:b w:val="0"/>
                <w:sz w:val="24"/>
                <w:szCs w:val="24"/>
              </w:rPr>
              <w:t>Отличия в процентах (по массе) от общей массы лекарственного препарата не более</w:t>
            </w:r>
          </w:p>
        </w:tc>
      </w:tr>
      <w:tr w:rsidR="00BD2893" w:rsidRPr="000E0324" w:rsidTr="00BD2893">
        <w:trPr>
          <w:jc w:val="center"/>
        </w:trPr>
        <w:tc>
          <w:tcPr>
            <w:tcW w:w="5678" w:type="dxa"/>
            <w:tcBorders>
              <w:top w:val="single" w:sz="4" w:space="0" w:color="auto"/>
            </w:tcBorders>
            <w:shd w:val="clear" w:color="auto" w:fill="FFFFFF"/>
          </w:tcPr>
          <w:p w:rsidR="00BD2893" w:rsidRPr="000E0324" w:rsidRDefault="00BD2893" w:rsidP="000E0324">
            <w:pPr>
              <w:pStyle w:val="Bodytext20"/>
              <w:shd w:val="clear" w:color="auto" w:fill="auto"/>
              <w:spacing w:before="0" w:after="120" w:line="240" w:lineRule="auto"/>
              <w:ind w:right="-6"/>
              <w:rPr>
                <w:sz w:val="24"/>
                <w:szCs w:val="24"/>
              </w:rPr>
            </w:pPr>
            <w:r w:rsidRPr="000E0324">
              <w:rPr>
                <w:rStyle w:val="Bodytext215pt"/>
                <w:b w:val="0"/>
                <w:sz w:val="24"/>
                <w:szCs w:val="24"/>
              </w:rPr>
              <w:t>Наполнители</w:t>
            </w:r>
          </w:p>
        </w:tc>
        <w:tc>
          <w:tcPr>
            <w:tcW w:w="3691" w:type="dxa"/>
            <w:tcBorders>
              <w:top w:val="single" w:sz="4" w:space="0" w:color="auto"/>
            </w:tcBorders>
            <w:shd w:val="clear" w:color="auto" w:fill="FFFFFF"/>
          </w:tcPr>
          <w:p w:rsidR="00BD2893" w:rsidRPr="000E0324" w:rsidRDefault="00BD2893" w:rsidP="000E0324">
            <w:pPr>
              <w:pStyle w:val="Bodytext20"/>
              <w:shd w:val="clear" w:color="auto" w:fill="auto"/>
              <w:spacing w:before="0" w:after="120" w:line="240" w:lineRule="auto"/>
              <w:ind w:right="-6"/>
              <w:jc w:val="center"/>
              <w:rPr>
                <w:sz w:val="24"/>
                <w:szCs w:val="24"/>
              </w:rPr>
            </w:pPr>
            <w:r w:rsidRPr="000E0324">
              <w:rPr>
                <w:rStyle w:val="Bodytext215pt"/>
                <w:b w:val="0"/>
                <w:sz w:val="24"/>
                <w:szCs w:val="24"/>
              </w:rPr>
              <w:t>±5,0%</w:t>
            </w:r>
          </w:p>
        </w:tc>
      </w:tr>
      <w:tr w:rsidR="00BD2893" w:rsidRPr="000E0324" w:rsidTr="00BD2893">
        <w:trPr>
          <w:jc w:val="center"/>
        </w:trPr>
        <w:tc>
          <w:tcPr>
            <w:tcW w:w="9369" w:type="dxa"/>
            <w:gridSpan w:val="2"/>
            <w:shd w:val="clear" w:color="auto" w:fill="FFFFFF"/>
          </w:tcPr>
          <w:p w:rsidR="00BD2893" w:rsidRPr="000E0324" w:rsidRDefault="00BD2893" w:rsidP="000E0324">
            <w:pPr>
              <w:pStyle w:val="Bodytext20"/>
              <w:shd w:val="clear" w:color="auto" w:fill="auto"/>
              <w:spacing w:before="0" w:after="120" w:line="240" w:lineRule="auto"/>
              <w:ind w:right="-6"/>
              <w:rPr>
                <w:sz w:val="24"/>
                <w:szCs w:val="24"/>
              </w:rPr>
            </w:pPr>
            <w:r w:rsidRPr="000E0324">
              <w:rPr>
                <w:rStyle w:val="Bodytext215pt"/>
                <w:b w:val="0"/>
                <w:sz w:val="24"/>
                <w:szCs w:val="24"/>
              </w:rPr>
              <w:t>Разрыхлители</w:t>
            </w:r>
          </w:p>
        </w:tc>
      </w:tr>
      <w:tr w:rsidR="00BD2893" w:rsidRPr="000E0324" w:rsidTr="00BD2893">
        <w:trPr>
          <w:jc w:val="center"/>
        </w:trPr>
        <w:tc>
          <w:tcPr>
            <w:tcW w:w="5678" w:type="dxa"/>
            <w:shd w:val="clear" w:color="auto" w:fill="FFFFFF"/>
          </w:tcPr>
          <w:p w:rsidR="00BD2893" w:rsidRPr="000E0324" w:rsidRDefault="00BD2893" w:rsidP="000E0324">
            <w:pPr>
              <w:pStyle w:val="Bodytext20"/>
              <w:shd w:val="clear" w:color="auto" w:fill="auto"/>
              <w:spacing w:before="0" w:after="120" w:line="240" w:lineRule="auto"/>
              <w:ind w:left="1703" w:right="-6"/>
              <w:rPr>
                <w:sz w:val="24"/>
                <w:szCs w:val="24"/>
              </w:rPr>
            </w:pPr>
            <w:r w:rsidRPr="000E0324">
              <w:rPr>
                <w:rStyle w:val="Bodytext215pt"/>
                <w:b w:val="0"/>
                <w:sz w:val="24"/>
                <w:szCs w:val="24"/>
              </w:rPr>
              <w:t>крахмал</w:t>
            </w:r>
          </w:p>
        </w:tc>
        <w:tc>
          <w:tcPr>
            <w:tcW w:w="3691" w:type="dxa"/>
            <w:shd w:val="clear" w:color="auto" w:fill="FFFFFF"/>
          </w:tcPr>
          <w:p w:rsidR="00BD2893" w:rsidRPr="000E0324" w:rsidRDefault="00BD2893" w:rsidP="000E0324">
            <w:pPr>
              <w:pStyle w:val="Bodytext20"/>
              <w:shd w:val="clear" w:color="auto" w:fill="auto"/>
              <w:spacing w:before="0" w:after="120" w:line="240" w:lineRule="auto"/>
              <w:ind w:right="-6"/>
              <w:jc w:val="center"/>
              <w:rPr>
                <w:sz w:val="24"/>
                <w:szCs w:val="24"/>
              </w:rPr>
            </w:pPr>
            <w:r w:rsidRPr="000E0324">
              <w:rPr>
                <w:rStyle w:val="Bodytext215pt"/>
                <w:b w:val="0"/>
                <w:sz w:val="24"/>
                <w:szCs w:val="24"/>
              </w:rPr>
              <w:t>±3,0%</w:t>
            </w:r>
          </w:p>
        </w:tc>
      </w:tr>
      <w:tr w:rsidR="00BD2893" w:rsidRPr="000E0324" w:rsidTr="00BD2893">
        <w:trPr>
          <w:jc w:val="center"/>
        </w:trPr>
        <w:tc>
          <w:tcPr>
            <w:tcW w:w="5678" w:type="dxa"/>
            <w:shd w:val="clear" w:color="auto" w:fill="FFFFFF"/>
          </w:tcPr>
          <w:p w:rsidR="00BD2893" w:rsidRPr="000E0324" w:rsidRDefault="00BD2893" w:rsidP="000E0324">
            <w:pPr>
              <w:pStyle w:val="Bodytext20"/>
              <w:shd w:val="clear" w:color="auto" w:fill="auto"/>
              <w:spacing w:before="0" w:after="120" w:line="240" w:lineRule="auto"/>
              <w:ind w:left="1703" w:right="-6"/>
              <w:rPr>
                <w:sz w:val="24"/>
                <w:szCs w:val="24"/>
              </w:rPr>
            </w:pPr>
            <w:r w:rsidRPr="000E0324">
              <w:rPr>
                <w:rStyle w:val="Bodytext215pt"/>
                <w:b w:val="0"/>
                <w:sz w:val="24"/>
                <w:szCs w:val="24"/>
              </w:rPr>
              <w:t>иные вещества</w:t>
            </w:r>
          </w:p>
        </w:tc>
        <w:tc>
          <w:tcPr>
            <w:tcW w:w="3691" w:type="dxa"/>
            <w:shd w:val="clear" w:color="auto" w:fill="FFFFFF"/>
          </w:tcPr>
          <w:p w:rsidR="00BD2893" w:rsidRPr="000E0324" w:rsidRDefault="00BD2893" w:rsidP="000E0324">
            <w:pPr>
              <w:pStyle w:val="Bodytext20"/>
              <w:shd w:val="clear" w:color="auto" w:fill="auto"/>
              <w:spacing w:before="0" w:after="120" w:line="240" w:lineRule="auto"/>
              <w:ind w:right="-6"/>
              <w:jc w:val="center"/>
              <w:rPr>
                <w:sz w:val="24"/>
                <w:szCs w:val="24"/>
              </w:rPr>
            </w:pPr>
            <w:r w:rsidRPr="000E0324">
              <w:rPr>
                <w:rStyle w:val="Bodytext215pt"/>
                <w:b w:val="0"/>
                <w:sz w:val="24"/>
                <w:szCs w:val="24"/>
              </w:rPr>
              <w:t>±1,0%</w:t>
            </w:r>
          </w:p>
        </w:tc>
      </w:tr>
      <w:tr w:rsidR="00BD2893" w:rsidRPr="000E0324" w:rsidTr="00BD2893">
        <w:trPr>
          <w:jc w:val="center"/>
        </w:trPr>
        <w:tc>
          <w:tcPr>
            <w:tcW w:w="5678" w:type="dxa"/>
            <w:shd w:val="clear" w:color="auto" w:fill="FFFFFF"/>
          </w:tcPr>
          <w:p w:rsidR="00BD2893" w:rsidRPr="000E0324" w:rsidRDefault="00BD2893" w:rsidP="000E0324">
            <w:pPr>
              <w:pStyle w:val="Bodytext20"/>
              <w:shd w:val="clear" w:color="auto" w:fill="auto"/>
              <w:spacing w:before="0" w:after="120" w:line="240" w:lineRule="auto"/>
              <w:ind w:right="-6"/>
              <w:rPr>
                <w:sz w:val="24"/>
                <w:szCs w:val="24"/>
              </w:rPr>
            </w:pPr>
            <w:r w:rsidRPr="000E0324">
              <w:rPr>
                <w:rStyle w:val="Bodytext215pt"/>
                <w:b w:val="0"/>
                <w:sz w:val="24"/>
                <w:szCs w:val="24"/>
              </w:rPr>
              <w:t>Связующие вещества</w:t>
            </w:r>
          </w:p>
        </w:tc>
        <w:tc>
          <w:tcPr>
            <w:tcW w:w="3691" w:type="dxa"/>
            <w:shd w:val="clear" w:color="auto" w:fill="FFFFFF"/>
          </w:tcPr>
          <w:p w:rsidR="00BD2893" w:rsidRPr="000E0324" w:rsidRDefault="00BD2893" w:rsidP="000E0324">
            <w:pPr>
              <w:pStyle w:val="Bodytext20"/>
              <w:shd w:val="clear" w:color="auto" w:fill="auto"/>
              <w:spacing w:before="0" w:after="120" w:line="240" w:lineRule="auto"/>
              <w:ind w:right="-6"/>
              <w:jc w:val="center"/>
              <w:rPr>
                <w:sz w:val="24"/>
                <w:szCs w:val="24"/>
              </w:rPr>
            </w:pPr>
            <w:r w:rsidRPr="000E0324">
              <w:rPr>
                <w:rStyle w:val="Bodytext215pt"/>
                <w:b w:val="0"/>
                <w:sz w:val="24"/>
                <w:szCs w:val="24"/>
              </w:rPr>
              <w:t>±0,5%</w:t>
            </w:r>
          </w:p>
        </w:tc>
      </w:tr>
      <w:tr w:rsidR="00BD2893" w:rsidRPr="000E0324" w:rsidTr="00BD2893">
        <w:trPr>
          <w:jc w:val="center"/>
        </w:trPr>
        <w:tc>
          <w:tcPr>
            <w:tcW w:w="9369" w:type="dxa"/>
            <w:gridSpan w:val="2"/>
            <w:shd w:val="clear" w:color="auto" w:fill="FFFFFF"/>
          </w:tcPr>
          <w:p w:rsidR="00BD2893" w:rsidRPr="000E0324" w:rsidRDefault="00BD2893" w:rsidP="000E0324">
            <w:pPr>
              <w:pStyle w:val="Bodytext20"/>
              <w:shd w:val="clear" w:color="auto" w:fill="auto"/>
              <w:spacing w:before="0" w:after="120" w:line="240" w:lineRule="auto"/>
              <w:ind w:right="-6"/>
              <w:rPr>
                <w:sz w:val="24"/>
                <w:szCs w:val="24"/>
              </w:rPr>
            </w:pPr>
            <w:r w:rsidRPr="000E0324">
              <w:rPr>
                <w:rStyle w:val="Bodytext215pt"/>
                <w:b w:val="0"/>
                <w:sz w:val="24"/>
                <w:szCs w:val="24"/>
              </w:rPr>
              <w:t>Вещества, способствующие смазыванию (любриканты)</w:t>
            </w:r>
          </w:p>
        </w:tc>
      </w:tr>
      <w:tr w:rsidR="00BD2893" w:rsidRPr="000E0324" w:rsidTr="00BD2893">
        <w:trPr>
          <w:jc w:val="center"/>
        </w:trPr>
        <w:tc>
          <w:tcPr>
            <w:tcW w:w="5678" w:type="dxa"/>
            <w:shd w:val="clear" w:color="auto" w:fill="FFFFFF"/>
          </w:tcPr>
          <w:p w:rsidR="00BD2893" w:rsidRPr="000E0324" w:rsidRDefault="00BD2893" w:rsidP="000E0324">
            <w:pPr>
              <w:pStyle w:val="Bodytext20"/>
              <w:shd w:val="clear" w:color="auto" w:fill="auto"/>
              <w:spacing w:before="0" w:after="120" w:line="240" w:lineRule="auto"/>
              <w:ind w:left="1703" w:right="-6"/>
              <w:rPr>
                <w:sz w:val="24"/>
                <w:szCs w:val="24"/>
              </w:rPr>
            </w:pPr>
            <w:r w:rsidRPr="000E0324">
              <w:rPr>
                <w:rStyle w:val="Bodytext215pt"/>
                <w:b w:val="0"/>
                <w:sz w:val="24"/>
                <w:szCs w:val="24"/>
              </w:rPr>
              <w:t>стеарат магния или кальция</w:t>
            </w:r>
          </w:p>
        </w:tc>
        <w:tc>
          <w:tcPr>
            <w:tcW w:w="3691" w:type="dxa"/>
            <w:shd w:val="clear" w:color="auto" w:fill="FFFFFF"/>
          </w:tcPr>
          <w:p w:rsidR="00BD2893" w:rsidRPr="000E0324" w:rsidRDefault="00BD2893" w:rsidP="000E0324">
            <w:pPr>
              <w:pStyle w:val="Bodytext20"/>
              <w:shd w:val="clear" w:color="auto" w:fill="auto"/>
              <w:spacing w:before="0" w:after="120" w:line="240" w:lineRule="auto"/>
              <w:ind w:right="-6"/>
              <w:jc w:val="center"/>
              <w:rPr>
                <w:sz w:val="24"/>
                <w:szCs w:val="24"/>
              </w:rPr>
            </w:pPr>
            <w:r w:rsidRPr="000E0324">
              <w:rPr>
                <w:rStyle w:val="Bodytext215pt"/>
                <w:b w:val="0"/>
                <w:sz w:val="24"/>
                <w:szCs w:val="24"/>
              </w:rPr>
              <w:t>±0,25%</w:t>
            </w:r>
          </w:p>
        </w:tc>
      </w:tr>
      <w:tr w:rsidR="00BD2893" w:rsidRPr="000E0324" w:rsidTr="00BD2893">
        <w:trPr>
          <w:jc w:val="center"/>
        </w:trPr>
        <w:tc>
          <w:tcPr>
            <w:tcW w:w="5678" w:type="dxa"/>
            <w:shd w:val="clear" w:color="auto" w:fill="FFFFFF"/>
          </w:tcPr>
          <w:p w:rsidR="00BD2893" w:rsidRPr="000E0324" w:rsidRDefault="00BD2893" w:rsidP="000E0324">
            <w:pPr>
              <w:pStyle w:val="Bodytext20"/>
              <w:shd w:val="clear" w:color="auto" w:fill="auto"/>
              <w:spacing w:before="0" w:after="120" w:line="240" w:lineRule="auto"/>
              <w:ind w:left="1703" w:right="-6"/>
              <w:rPr>
                <w:sz w:val="24"/>
                <w:szCs w:val="24"/>
              </w:rPr>
            </w:pPr>
            <w:r w:rsidRPr="000E0324">
              <w:rPr>
                <w:rStyle w:val="Bodytext215pt"/>
                <w:b w:val="0"/>
                <w:sz w:val="24"/>
                <w:szCs w:val="24"/>
              </w:rPr>
              <w:t>иные вещества</w:t>
            </w:r>
          </w:p>
        </w:tc>
        <w:tc>
          <w:tcPr>
            <w:tcW w:w="3691" w:type="dxa"/>
            <w:shd w:val="clear" w:color="auto" w:fill="FFFFFF"/>
          </w:tcPr>
          <w:p w:rsidR="00BD2893" w:rsidRPr="000E0324" w:rsidRDefault="00BD2893" w:rsidP="000E0324">
            <w:pPr>
              <w:pStyle w:val="Bodytext20"/>
              <w:shd w:val="clear" w:color="auto" w:fill="auto"/>
              <w:spacing w:before="0" w:after="120" w:line="240" w:lineRule="auto"/>
              <w:ind w:right="-6"/>
              <w:jc w:val="center"/>
              <w:rPr>
                <w:sz w:val="24"/>
                <w:szCs w:val="24"/>
              </w:rPr>
            </w:pPr>
            <w:r w:rsidRPr="000E0324">
              <w:rPr>
                <w:rStyle w:val="Bodytext215pt"/>
                <w:b w:val="0"/>
                <w:sz w:val="24"/>
                <w:szCs w:val="24"/>
              </w:rPr>
              <w:t>±1,0%</w:t>
            </w:r>
          </w:p>
        </w:tc>
      </w:tr>
      <w:tr w:rsidR="00BD2893" w:rsidRPr="000E0324" w:rsidTr="00BD2893">
        <w:trPr>
          <w:jc w:val="center"/>
        </w:trPr>
        <w:tc>
          <w:tcPr>
            <w:tcW w:w="9369" w:type="dxa"/>
            <w:gridSpan w:val="2"/>
            <w:shd w:val="clear" w:color="auto" w:fill="FFFFFF"/>
          </w:tcPr>
          <w:p w:rsidR="00BD2893" w:rsidRPr="000E0324" w:rsidRDefault="00BD2893" w:rsidP="000E0324">
            <w:pPr>
              <w:pStyle w:val="Bodytext20"/>
              <w:shd w:val="clear" w:color="auto" w:fill="auto"/>
              <w:spacing w:before="0" w:after="120" w:line="240" w:lineRule="auto"/>
              <w:ind w:right="-6"/>
              <w:rPr>
                <w:sz w:val="24"/>
                <w:szCs w:val="24"/>
              </w:rPr>
            </w:pPr>
            <w:r w:rsidRPr="000E0324">
              <w:rPr>
                <w:rStyle w:val="Bodytext215pt"/>
                <w:b w:val="0"/>
                <w:sz w:val="24"/>
                <w:szCs w:val="24"/>
              </w:rPr>
              <w:t>Вещества, способствующие скольжению</w:t>
            </w:r>
          </w:p>
        </w:tc>
      </w:tr>
      <w:tr w:rsidR="00BD2893" w:rsidRPr="000E0324" w:rsidTr="00BD2893">
        <w:trPr>
          <w:jc w:val="center"/>
        </w:trPr>
        <w:tc>
          <w:tcPr>
            <w:tcW w:w="5678" w:type="dxa"/>
            <w:shd w:val="clear" w:color="auto" w:fill="FFFFFF"/>
          </w:tcPr>
          <w:p w:rsidR="00BD2893" w:rsidRPr="000E0324" w:rsidRDefault="00BD2893" w:rsidP="000E0324">
            <w:pPr>
              <w:pStyle w:val="Bodytext20"/>
              <w:shd w:val="clear" w:color="auto" w:fill="auto"/>
              <w:spacing w:before="0" w:after="120" w:line="240" w:lineRule="auto"/>
              <w:ind w:left="1703" w:right="-6"/>
              <w:rPr>
                <w:sz w:val="24"/>
                <w:szCs w:val="24"/>
              </w:rPr>
            </w:pPr>
            <w:r w:rsidRPr="000E0324">
              <w:rPr>
                <w:rStyle w:val="Bodytext215pt"/>
                <w:b w:val="0"/>
                <w:sz w:val="24"/>
                <w:szCs w:val="24"/>
              </w:rPr>
              <w:t>тальк</w:t>
            </w:r>
          </w:p>
        </w:tc>
        <w:tc>
          <w:tcPr>
            <w:tcW w:w="3691" w:type="dxa"/>
            <w:shd w:val="clear" w:color="auto" w:fill="FFFFFF"/>
          </w:tcPr>
          <w:p w:rsidR="00BD2893" w:rsidRPr="000E0324" w:rsidRDefault="00BD2893" w:rsidP="000E0324">
            <w:pPr>
              <w:pStyle w:val="Bodytext20"/>
              <w:shd w:val="clear" w:color="auto" w:fill="auto"/>
              <w:spacing w:before="0" w:after="120" w:line="240" w:lineRule="auto"/>
              <w:ind w:right="-6"/>
              <w:jc w:val="center"/>
              <w:rPr>
                <w:sz w:val="24"/>
                <w:szCs w:val="24"/>
              </w:rPr>
            </w:pPr>
            <w:r w:rsidRPr="000E0324">
              <w:rPr>
                <w:rStyle w:val="Bodytext215pt"/>
                <w:b w:val="0"/>
                <w:sz w:val="24"/>
                <w:szCs w:val="24"/>
              </w:rPr>
              <w:t>±1,0%</w:t>
            </w:r>
          </w:p>
        </w:tc>
      </w:tr>
      <w:tr w:rsidR="00BD2893" w:rsidRPr="000E0324" w:rsidTr="00BD2893">
        <w:trPr>
          <w:jc w:val="center"/>
        </w:trPr>
        <w:tc>
          <w:tcPr>
            <w:tcW w:w="5678" w:type="dxa"/>
            <w:shd w:val="clear" w:color="auto" w:fill="FFFFFF"/>
          </w:tcPr>
          <w:p w:rsidR="00BD2893" w:rsidRPr="000E0324" w:rsidRDefault="00BD2893" w:rsidP="000E0324">
            <w:pPr>
              <w:pStyle w:val="Bodytext20"/>
              <w:shd w:val="clear" w:color="auto" w:fill="auto"/>
              <w:spacing w:before="0" w:after="120" w:line="240" w:lineRule="auto"/>
              <w:ind w:left="1703" w:right="-6"/>
              <w:rPr>
                <w:sz w:val="24"/>
                <w:szCs w:val="24"/>
              </w:rPr>
            </w:pPr>
            <w:r w:rsidRPr="000E0324">
              <w:rPr>
                <w:rStyle w:val="Bodytext215pt"/>
                <w:b w:val="0"/>
                <w:sz w:val="24"/>
                <w:szCs w:val="24"/>
              </w:rPr>
              <w:t>иные вещества</w:t>
            </w:r>
          </w:p>
        </w:tc>
        <w:tc>
          <w:tcPr>
            <w:tcW w:w="3691" w:type="dxa"/>
            <w:shd w:val="clear" w:color="auto" w:fill="FFFFFF"/>
          </w:tcPr>
          <w:p w:rsidR="00BD2893" w:rsidRPr="000E0324" w:rsidRDefault="00BD2893" w:rsidP="000E0324">
            <w:pPr>
              <w:pStyle w:val="Bodytext20"/>
              <w:shd w:val="clear" w:color="auto" w:fill="auto"/>
              <w:spacing w:before="0" w:after="120" w:line="240" w:lineRule="auto"/>
              <w:ind w:right="-6"/>
              <w:jc w:val="center"/>
              <w:rPr>
                <w:sz w:val="24"/>
                <w:szCs w:val="24"/>
              </w:rPr>
            </w:pPr>
            <w:r w:rsidRPr="000E0324">
              <w:rPr>
                <w:rStyle w:val="Bodytext215pt"/>
                <w:b w:val="0"/>
                <w:sz w:val="24"/>
                <w:szCs w:val="24"/>
              </w:rPr>
              <w:t>±0,1%</w:t>
            </w:r>
          </w:p>
        </w:tc>
      </w:tr>
    </w:tbl>
    <w:p w:rsidR="00BD2893" w:rsidRPr="000E0324" w:rsidRDefault="00BD2893" w:rsidP="00BD2893">
      <w:pPr>
        <w:pStyle w:val="Bodytext120"/>
        <w:shd w:val="clear" w:color="auto" w:fill="auto"/>
        <w:spacing w:after="120" w:line="240" w:lineRule="auto"/>
        <w:ind w:left="1701" w:right="-8" w:hanging="1701"/>
        <w:rPr>
          <w:b w:val="0"/>
          <w:sz w:val="24"/>
          <w:szCs w:val="24"/>
          <w:lang w:val="ru-RU"/>
        </w:rPr>
      </w:pPr>
      <w:r w:rsidRPr="000E0324">
        <w:rPr>
          <w:b w:val="0"/>
          <w:sz w:val="24"/>
          <w:szCs w:val="24"/>
          <w:lang w:val="ru-RU"/>
        </w:rPr>
        <w:t>Примечания. 1. Если вспомогательные вещества выполняют несколько функций (например, микрокристаллическая целлюлоза выполняет функцию наполнителя и разрыхлителя), то должен быть выбран наиболее жесткий критерий (в случае с микрокристаллической целлюлозой - ± 1%).</w:t>
      </w:r>
    </w:p>
    <w:p w:rsidR="00BD2893" w:rsidRPr="000E0324" w:rsidRDefault="00BD2893" w:rsidP="00BD2893">
      <w:pPr>
        <w:pStyle w:val="Bodytext120"/>
        <w:shd w:val="clear" w:color="auto" w:fill="auto"/>
        <w:spacing w:after="120" w:line="240" w:lineRule="auto"/>
        <w:ind w:left="1701" w:right="-8" w:firstLine="0"/>
        <w:rPr>
          <w:b w:val="0"/>
          <w:sz w:val="24"/>
          <w:szCs w:val="24"/>
          <w:lang w:val="ru-RU"/>
        </w:rPr>
      </w:pPr>
      <w:r w:rsidRPr="000E0324">
        <w:rPr>
          <w:b w:val="0"/>
          <w:sz w:val="24"/>
          <w:szCs w:val="24"/>
          <w:lang w:val="ru-RU"/>
        </w:rPr>
        <w:t>2. Концентрация вспомогательного вещества в 2 водных растворах лекарственных препаратов считается схожей, если разница составляет не более ±10%.</w:t>
      </w:r>
    </w:p>
    <w:p w:rsidR="00BD2893" w:rsidRPr="000E0324" w:rsidRDefault="00BD2893" w:rsidP="00BD2893">
      <w:pPr>
        <w:pStyle w:val="Bodytext120"/>
        <w:shd w:val="clear" w:color="auto" w:fill="auto"/>
        <w:spacing w:after="120" w:line="240" w:lineRule="auto"/>
        <w:ind w:left="1701" w:right="-8" w:firstLine="0"/>
        <w:rPr>
          <w:b w:val="0"/>
          <w:sz w:val="24"/>
          <w:szCs w:val="24"/>
          <w:lang w:val="ru-RU"/>
        </w:rPr>
      </w:pPr>
      <w:r w:rsidRPr="000E0324">
        <w:rPr>
          <w:b w:val="0"/>
          <w:sz w:val="24"/>
          <w:szCs w:val="24"/>
          <w:lang w:val="ru-RU"/>
        </w:rPr>
        <w:t>3. Различия в содержании других вспомогательных веществ, имеющих функциональное назначение, не упомянутое в вышеприведенной таблице, требуют научного обоснования.</w:t>
      </w:r>
    </w:p>
    <w:p w:rsidR="0063793B" w:rsidRPr="000E0324" w:rsidRDefault="0063793B" w:rsidP="00BD2893">
      <w:pPr>
        <w:spacing w:before="21" w:after="0" w:line="240" w:lineRule="auto"/>
        <w:ind w:right="90"/>
        <w:rPr>
          <w:rFonts w:ascii="Times New Roman" w:eastAsia="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20. Как правило, с действующими веществами </w:t>
      </w:r>
      <w:r w:rsidRPr="000E0324">
        <w:rPr>
          <w:rFonts w:ascii="Times New Roman" w:eastAsia="Times New Roman" w:hAnsi="Times New Roman" w:cs="Times New Roman"/>
          <w:sz w:val="24"/>
          <w:szCs w:val="24"/>
        </w:rPr>
        <w:t>I</w:t>
      </w:r>
      <w:r w:rsidRPr="000E0324">
        <w:rPr>
          <w:rFonts w:ascii="Times New Roman" w:eastAsia="Times New Roman" w:hAnsi="Times New Roman" w:cs="Times New Roman"/>
          <w:sz w:val="24"/>
          <w:szCs w:val="24"/>
          <w:lang w:val="ru-RU"/>
        </w:rPr>
        <w:t xml:space="preserve"> или </w:t>
      </w:r>
      <w:r w:rsidRPr="000E0324">
        <w:rPr>
          <w:rFonts w:ascii="Times New Roman" w:eastAsia="Times New Roman" w:hAnsi="Times New Roman" w:cs="Times New Roman"/>
          <w:sz w:val="24"/>
          <w:szCs w:val="24"/>
        </w:rPr>
        <w:t>III</w:t>
      </w:r>
      <w:r w:rsidRPr="000E0324">
        <w:rPr>
          <w:rFonts w:ascii="Times New Roman" w:eastAsia="Times New Roman" w:hAnsi="Times New Roman" w:cs="Times New Roman"/>
          <w:sz w:val="24"/>
          <w:szCs w:val="24"/>
          <w:lang w:val="ru-RU"/>
        </w:rPr>
        <w:t xml:space="preserve"> класса по БКС необходимо использовать стандартные количества хорошо изученных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проанализировать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объяснить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(или) растворимость.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назначение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 вспомогательных веществ с обоснованием того, что количество каждого 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находится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 вспомогательные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повлиять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биодоступность (например,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сорбитол,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маннитол,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натрия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лаурилсульфат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прочие поверхностно-активные вещества), с указанием их влияния на:</w:t>
      </w:r>
    </w:p>
    <w:p w:rsidR="005661C0" w:rsidRPr="000E0324" w:rsidRDefault="00855820" w:rsidP="000E0324">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моторику желудочно-кишечного тракта;</w:t>
      </w:r>
    </w:p>
    <w:p w:rsidR="005661C0" w:rsidRPr="000E0324" w:rsidRDefault="00855820" w:rsidP="000E0324">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подверженность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взаимодействию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веществом</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 комплексообразование);</w:t>
      </w:r>
    </w:p>
    <w:p w:rsidR="005661C0" w:rsidRPr="000E0324" w:rsidRDefault="00855820" w:rsidP="000E0324">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проникающую способность действующего вещества;</w:t>
      </w:r>
    </w:p>
    <w:p w:rsidR="005661C0" w:rsidRPr="000E0324" w:rsidRDefault="00855820" w:rsidP="000E0324">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взаимодействие с мембранными переносчиками.</w:t>
      </w:r>
    </w:p>
    <w:p w:rsidR="005661C0" w:rsidRPr="000E0324" w:rsidRDefault="005661C0" w:rsidP="000E0324">
      <w:pPr>
        <w:spacing w:after="0" w:line="360" w:lineRule="auto"/>
        <w:ind w:left="102" w:right="37" w:firstLine="708"/>
        <w:jc w:val="both"/>
        <w:rPr>
          <w:rFonts w:ascii="Times New Roman" w:eastAsia="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21. Качественный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вспомогательных веществ, доказано способных повлиять на биоэквивалентность, 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 одинаковыми.</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022" w:right="1305"/>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V</w:t>
      </w:r>
      <w:r w:rsidRPr="000E0324">
        <w:rPr>
          <w:rFonts w:ascii="Times New Roman" w:eastAsia="Times New Roman" w:hAnsi="Times New Roman" w:cs="Times New Roman"/>
          <w:sz w:val="24"/>
          <w:szCs w:val="24"/>
          <w:lang w:val="ru-RU"/>
        </w:rPr>
        <w:t>. Комбинированные лекарственные препараты</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BD2893">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22. Биовейвер,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 комбинированных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немедленным 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принадлежат</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rPr>
        <w:t>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классу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БКС,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соответствуют требованиям, изложенным в подразделе 3 раздела </w:t>
      </w:r>
      <w:r w:rsidRPr="000E0324">
        <w:rPr>
          <w:rFonts w:ascii="Times New Roman" w:eastAsia="Times New Roman" w:hAnsi="Times New Roman" w:cs="Times New Roman"/>
          <w:sz w:val="24"/>
          <w:szCs w:val="24"/>
        </w:rPr>
        <w:t>IV</w:t>
      </w:r>
      <w:r w:rsidRPr="000E0324">
        <w:rPr>
          <w:rFonts w:ascii="Times New Roman" w:eastAsia="Times New Roman" w:hAnsi="Times New Roman" w:cs="Times New Roman"/>
          <w:sz w:val="24"/>
          <w:szCs w:val="24"/>
          <w:lang w:val="ru-RU"/>
        </w:rPr>
        <w:t xml:space="preserve"> настоящих Требований. В остальных случаях требуется проведение исследования биоэквивалентности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w:t>
      </w:r>
    </w:p>
    <w:p w:rsidR="005661C0" w:rsidRPr="000E0324" w:rsidRDefault="005661C0" w:rsidP="00903CB0">
      <w:pPr>
        <w:spacing w:after="0" w:line="359" w:lineRule="auto"/>
        <w:jc w:val="both"/>
        <w:rPr>
          <w:rFonts w:ascii="Times New Roman" w:eastAsia="Times New Roman" w:hAnsi="Times New Roman" w:cs="Times New Roman"/>
          <w:sz w:val="24"/>
          <w:szCs w:val="24"/>
          <w:lang w:val="ru-RU"/>
        </w:rPr>
      </w:pPr>
    </w:p>
    <w:p w:rsidR="00BD2893" w:rsidRPr="000E0324" w:rsidRDefault="00BD2893">
      <w:pP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br w:type="page"/>
      </w:r>
    </w:p>
    <w:p w:rsidR="005661C0" w:rsidRPr="000E0324" w:rsidRDefault="00855820" w:rsidP="00903CB0">
      <w:pPr>
        <w:spacing w:before="66" w:after="0" w:line="240" w:lineRule="auto"/>
        <w:ind w:left="5668" w:right="112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ПРИЛОЖЕНИЕ № 5</w:t>
      </w:r>
    </w:p>
    <w:p w:rsidR="005661C0" w:rsidRPr="000E0324" w:rsidRDefault="00855820" w:rsidP="00903CB0">
      <w:pPr>
        <w:spacing w:after="0" w:line="240" w:lineRule="auto"/>
        <w:ind w:left="4684" w:right="13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 Правилам проведения исследований биоэквивалентности лекарственных препаратов в рамках Евразийского экономического союза</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5661C0" w:rsidP="00903CB0">
      <w:pPr>
        <w:spacing w:before="13" w:after="0" w:line="260" w:lineRule="exact"/>
        <w:rPr>
          <w:rFonts w:ascii="Times New Roman" w:hAnsi="Times New Roman" w:cs="Times New Roman"/>
          <w:sz w:val="24"/>
          <w:szCs w:val="24"/>
          <w:lang w:val="ru-RU"/>
        </w:rPr>
      </w:pPr>
    </w:p>
    <w:p w:rsidR="005661C0" w:rsidRPr="000E0324" w:rsidRDefault="00855820" w:rsidP="00903CB0">
      <w:pPr>
        <w:spacing w:after="0" w:line="240" w:lineRule="auto"/>
        <w:ind w:left="4326" w:right="432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b/>
          <w:bCs/>
          <w:sz w:val="24"/>
          <w:szCs w:val="24"/>
          <w:lang w:val="ru-RU"/>
        </w:rPr>
        <w:t>ТЕСТ</w:t>
      </w:r>
    </w:p>
    <w:p w:rsidR="005661C0" w:rsidRPr="000E0324" w:rsidRDefault="00855820" w:rsidP="00903CB0">
      <w:pPr>
        <w:spacing w:before="1" w:after="0" w:line="346" w:lineRule="exact"/>
        <w:ind w:left="885" w:right="87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b/>
          <w:bCs/>
          <w:sz w:val="24"/>
          <w:szCs w:val="24"/>
          <w:lang w:val="ru-RU"/>
        </w:rPr>
        <w:t>сравнительной кинетики растворения и сопоставимость профилей растворения</w:t>
      </w:r>
    </w:p>
    <w:p w:rsidR="005661C0" w:rsidRPr="000E0324" w:rsidRDefault="005661C0" w:rsidP="00903CB0">
      <w:pPr>
        <w:spacing w:before="15" w:after="0" w:line="280" w:lineRule="exact"/>
        <w:rPr>
          <w:rFonts w:ascii="Times New Roman" w:hAnsi="Times New Roman" w:cs="Times New Roman"/>
          <w:sz w:val="24"/>
          <w:szCs w:val="24"/>
          <w:lang w:val="ru-RU"/>
        </w:rPr>
      </w:pPr>
    </w:p>
    <w:p w:rsidR="005661C0" w:rsidRPr="000E0324" w:rsidRDefault="00855820" w:rsidP="00903CB0">
      <w:pPr>
        <w:spacing w:after="0" w:line="239" w:lineRule="auto"/>
        <w:ind w:left="2265" w:right="225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w:t>
      </w:r>
      <w:r w:rsidRPr="000E0324">
        <w:rPr>
          <w:rFonts w:ascii="Times New Roman" w:eastAsia="Times New Roman" w:hAnsi="Times New Roman" w:cs="Times New Roman"/>
          <w:sz w:val="24"/>
          <w:szCs w:val="24"/>
          <w:lang w:val="ru-RU"/>
        </w:rPr>
        <w:t>. Общие аспекты теста сравнительной кинетики растворения во взаимосвязи с биоэквивалентностью</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разработке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тест сравнительной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кинетики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(ТСКР)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инструментом установления биофармацевтических свойств лекарственного препарата, 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повлиять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биодоступность. 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завершении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разработки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производственного процесса ТСКР используется для контроля качества масштабирования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промышленных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обеспечить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 постоянство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сопоставимость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профилей 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опорных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клинических исследованиях. Кроме того, в отдельных случаях ТСКР может служить заменой исследованиям биоэквивалентности.</w:t>
      </w:r>
    </w:p>
    <w:p w:rsidR="005661C0" w:rsidRPr="000E0324" w:rsidRDefault="00855820" w:rsidP="000E0324">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ТСКР может преследовать различные цели:</w:t>
      </w:r>
    </w:p>
    <w:p w:rsidR="005661C0" w:rsidRPr="000E0324" w:rsidRDefault="00855820" w:rsidP="000E0324">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при экспертизе качества лекарственного препарата:</w:t>
      </w:r>
    </w:p>
    <w:p w:rsidR="005661C0" w:rsidRPr="000E0324" w:rsidRDefault="00855820" w:rsidP="000E0324">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для получения характеристик серии, использованной в 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опорных</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спецификации</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(нормативный документ по контролю качества);</w:t>
      </w:r>
    </w:p>
    <w:p w:rsidR="005661C0" w:rsidRPr="000E0324" w:rsidRDefault="00855820" w:rsidP="000E0324">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как инструмент контроля качества серий лекарственных средств в целях подтверждения постоянства производства;</w:t>
      </w:r>
    </w:p>
    <w:p w:rsidR="005661C0" w:rsidRPr="000E0324" w:rsidRDefault="00855820" w:rsidP="000E0324">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для получения характеристик референтного лекарственного 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биодоступности (биоэквивалентности) и опорных клинических исследованиях;</w:t>
      </w:r>
    </w:p>
    <w:p w:rsidR="005661C0" w:rsidRPr="000E0324" w:rsidRDefault="00855820" w:rsidP="000E0324">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как замена исследованиий биоэквивалентности:</w:t>
      </w:r>
    </w:p>
    <w:p w:rsidR="005661C0" w:rsidRPr="000E0324" w:rsidRDefault="00855820" w:rsidP="00BD2893">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чтобы подтвердить (в определенных случаях) аналогичность 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(биовейверы,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внесении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разработки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воспроизведенные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лекарственные препараты,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IV</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 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 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 утверждаемых Евразийской экономической комиссией и приложения №</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 к Правилам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чтобы установить постоянство качества серий лекарственных 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будет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основываться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соответствующих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для использования в исследованиях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w:t>
      </w:r>
    </w:p>
    <w:p w:rsidR="005661C0" w:rsidRPr="000E0324" w:rsidRDefault="00855820" w:rsidP="00BD2893">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Методы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разработать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 каждому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(или) частных фармакопейных требований. Если указанные требования не удовлетворительны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отражают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процесс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всасывания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 xml:space="preserve"> (биорелевантность), допустимо использовать альтернативные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достаточной дискриминационной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улавливать разницу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неприемлемой биодоступностью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всегда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принимать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внимание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современные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сведения (включая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взаимодействие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характеристик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основанных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биофармацевтической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системе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классификации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 лекарственной формы.</w:t>
      </w:r>
    </w:p>
    <w:p w:rsidR="005661C0" w:rsidRPr="000E0324" w:rsidRDefault="00855820" w:rsidP="00903CB0">
      <w:pPr>
        <w:spacing w:before="7"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полноценные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 интервалы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частыми (не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через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максимального изменения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рекомендуется осуществлять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еще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чаще.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построения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профиля 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быстро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растворяющихся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 полное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укладывается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 необходимо осуществлять каждые 5 или 10 минут.</w:t>
      </w:r>
    </w:p>
    <w:p w:rsidR="005661C0" w:rsidRPr="000E0324" w:rsidRDefault="00855820" w:rsidP="00BD2893">
      <w:pPr>
        <w:spacing w:before="5"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хорошо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растворимым, 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предположение,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проблемы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возникнут,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дополнение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быстро растворяется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физиологических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pH</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вспомогательные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Напротив,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 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ограниченно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малорастворимо,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фактором, лимитирующим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всасывания,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растворимость лекарственной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Аналогичная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ситуация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возникает,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вспомогательные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последующее растворение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ТСКР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соответствующей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схемой отбора проб.</w:t>
      </w:r>
    </w:p>
    <w:p w:rsidR="005661C0" w:rsidRPr="000E0324" w:rsidRDefault="005661C0" w:rsidP="00903CB0">
      <w:pPr>
        <w:spacing w:before="4"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005" w:right="1997"/>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II</w:t>
      </w:r>
      <w:r w:rsidRPr="000E0324">
        <w:rPr>
          <w:rFonts w:ascii="Times New Roman" w:eastAsia="Times New Roman" w:hAnsi="Times New Roman" w:cs="Times New Roman"/>
          <w:sz w:val="24"/>
          <w:szCs w:val="24"/>
          <w:lang w:val="ru-RU"/>
        </w:rPr>
        <w:t>. Сопоставимость профилей растворения</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 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ТСКР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выводы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 в обоснование биовейвера) признаются правильными, если построение профиля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основывалось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 временных точек.</w:t>
      </w:r>
    </w:p>
    <w:p w:rsidR="005661C0" w:rsidRPr="000E0324" w:rsidRDefault="00855820" w:rsidP="00903CB0">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дополнение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изложенным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w:t>
      </w:r>
      <w:r w:rsidRPr="000E0324">
        <w:rPr>
          <w:rFonts w:ascii="Times New Roman" w:eastAsia="Times New Roman" w:hAnsi="Times New Roman" w:cs="Times New Roman"/>
          <w:sz w:val="24"/>
          <w:szCs w:val="24"/>
          <w:lang w:val="ru-RU"/>
        </w:rPr>
        <w:t xml:space="preserve"> настоящего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приложения,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немедленным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 временной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выяснить,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произошло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полное растворение до опорожнения желудка.</w:t>
      </w:r>
    </w:p>
    <w:p w:rsidR="005661C0" w:rsidRPr="000E0324" w:rsidRDefault="00855820" w:rsidP="00903CB0">
      <w:pPr>
        <w:spacing w:before="7" w:after="0" w:line="359"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 в течение 15 минут растворилось более 85 % действующего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номинального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 признаются сопоставимыми без дальнейшей математической обработки данных.</w:t>
      </w:r>
    </w:p>
    <w:p w:rsidR="005661C0" w:rsidRPr="000E0324" w:rsidRDefault="00855820" w:rsidP="00BD2893">
      <w:pPr>
        <w:spacing w:before="7" w:after="0" w:line="359"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 85 % действующего вещества растворилось в течение 30, а не</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15 минут, то необходимы 3 временные точки: до истечения 15 минут, на</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15-й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минуте 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точке, когда степень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высвобождения составляет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около</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position w:val="-1"/>
          <w:sz w:val="24"/>
          <w:szCs w:val="24"/>
          <w:lang w:val="ru-RU"/>
        </w:rPr>
        <w:t>85 %.</w:t>
      </w:r>
    </w:p>
    <w:p w:rsidR="005661C0" w:rsidRPr="000E0324" w:rsidRDefault="00855820" w:rsidP="00903CB0">
      <w:pPr>
        <w:spacing w:before="21"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 Рекомендации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модифицированным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изложены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соответствующих документах Союза.</w:t>
      </w:r>
    </w:p>
    <w:p w:rsidR="005661C0" w:rsidRPr="000E0324" w:rsidRDefault="00855820" w:rsidP="00903CB0">
      <w:pPr>
        <w:spacing w:before="4"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9. Сопоставимость профилей растворения может быть определена с использованием фактора </w:t>
      </w:r>
      <w:r w:rsidRPr="000E0324">
        <w:rPr>
          <w:rFonts w:ascii="Times New Roman" w:eastAsia="Times New Roman" w:hAnsi="Times New Roman" w:cs="Times New Roman"/>
          <w:i/>
          <w:sz w:val="24"/>
          <w:szCs w:val="24"/>
        </w:rPr>
        <w:t>f</w:t>
      </w:r>
      <w:r w:rsidRPr="000E0324">
        <w:rPr>
          <w:rFonts w:ascii="Times New Roman" w:eastAsia="Times New Roman" w:hAnsi="Times New Roman" w:cs="Times New Roman"/>
          <w:position w:val="-4"/>
          <w:sz w:val="24"/>
          <w:szCs w:val="24"/>
          <w:lang w:val="ru-RU"/>
        </w:rPr>
        <w:t>2</w:t>
      </w:r>
      <w:r w:rsidRPr="000E0324">
        <w:rPr>
          <w:rFonts w:ascii="Times New Roman" w:eastAsia="Times New Roman" w:hAnsi="Times New Roman" w:cs="Times New Roman"/>
          <w:spacing w:val="47"/>
          <w:position w:val="-4"/>
          <w:sz w:val="24"/>
          <w:szCs w:val="24"/>
          <w:lang w:val="ru-RU"/>
        </w:rPr>
        <w:t xml:space="preserve"> </w:t>
      </w:r>
      <w:r w:rsidRPr="000E0324">
        <w:rPr>
          <w:rFonts w:ascii="Times New Roman" w:eastAsia="Times New Roman" w:hAnsi="Times New Roman" w:cs="Times New Roman"/>
          <w:sz w:val="24"/>
          <w:szCs w:val="24"/>
          <w:lang w:val="ru-RU"/>
        </w:rPr>
        <w:t>по следующей формуле:</w:t>
      </w:r>
    </w:p>
    <w:p w:rsidR="00BD2893" w:rsidRPr="000E0324" w:rsidRDefault="00BD2893" w:rsidP="00BD2893">
      <w:pPr>
        <w:pStyle w:val="Bodytext20"/>
        <w:shd w:val="clear" w:color="auto" w:fill="auto"/>
        <w:spacing w:after="120" w:line="240" w:lineRule="auto"/>
        <w:ind w:right="-8" w:firstLine="567"/>
        <w:rPr>
          <w:sz w:val="24"/>
          <w:szCs w:val="24"/>
          <w:lang w:val="ru-RU"/>
        </w:rPr>
      </w:pPr>
    </w:p>
    <w:p w:rsidR="00BD2893" w:rsidRPr="000E0324" w:rsidRDefault="00BD2893" w:rsidP="00BD2893">
      <w:pPr>
        <w:pStyle w:val="Bodytext20"/>
        <w:shd w:val="clear" w:color="auto" w:fill="auto"/>
        <w:spacing w:after="120" w:line="240" w:lineRule="auto"/>
        <w:ind w:right="-8" w:firstLine="567"/>
        <w:rPr>
          <w:sz w:val="24"/>
          <w:szCs w:val="24"/>
        </w:rPr>
      </w:pPr>
      <w:r w:rsidRPr="000E0324">
        <w:rPr>
          <w:sz w:val="24"/>
          <w:szCs w:val="24"/>
          <w:lang w:bidi="en-US"/>
        </w:rPr>
        <w:t>f</w:t>
      </w:r>
      <w:r w:rsidRPr="000E0324">
        <w:rPr>
          <w:sz w:val="24"/>
          <w:szCs w:val="24"/>
          <w:vertAlign w:val="subscript"/>
          <w:lang w:bidi="en-US"/>
        </w:rPr>
        <w:t>2</w:t>
      </w:r>
      <m:oMath>
        <m:r>
          <w:rPr>
            <w:rFonts w:ascii="Cambria Math" w:hAnsi="Cambria Math"/>
            <w:sz w:val="24"/>
            <w:szCs w:val="24"/>
            <w:vertAlign w:val="subscript"/>
            <w:lang w:bidi="en-US"/>
          </w:rPr>
          <m:t xml:space="preserve"> </m:t>
        </m:r>
        <m:r>
          <w:rPr>
            <w:rFonts w:ascii="Cambria Math" w:hAnsi="Cambria Math"/>
            <w:sz w:val="24"/>
            <w:szCs w:val="24"/>
          </w:rPr>
          <m:t xml:space="preserve">= </m:t>
        </m:r>
      </m:oMath>
      <w:r w:rsidRPr="000E0324">
        <w:rPr>
          <w:sz w:val="24"/>
          <w:szCs w:val="24"/>
        </w:rPr>
        <w:t>50</w:t>
      </w:r>
      <m:oMath>
        <m:r>
          <w:rPr>
            <w:rFonts w:ascii="Cambria Math" w:hAnsi="Cambria Math"/>
            <w:sz w:val="24"/>
            <w:szCs w:val="24"/>
          </w:rPr>
          <m:t xml:space="preserve"> × </m:t>
        </m:r>
        <m:func>
          <m:funcPr>
            <m:ctrlPr>
              <w:rPr>
                <w:rFonts w:ascii="Cambria Math" w:hAnsi="Cambria Math"/>
                <w:i/>
                <w:sz w:val="24"/>
                <w:szCs w:val="24"/>
              </w:rPr>
            </m:ctrlPr>
          </m:funcPr>
          <m:fName>
            <m:r>
              <m:rPr>
                <m:sty m:val="p"/>
              </m:rPr>
              <w:rPr>
                <w:rFonts w:ascii="Cambria Math" w:hAnsi="Cambria Math"/>
                <w:sz w:val="24"/>
                <w:szCs w:val="24"/>
              </w:rPr>
              <m:t>log</m:t>
            </m:r>
          </m:fName>
          <m:e>
            <m:d>
              <m:dPr>
                <m:begChr m:val="["/>
                <m:endChr m:val="]"/>
                <m:ctrlPr>
                  <w:rPr>
                    <w:rFonts w:ascii="Cambria Math" w:hAnsi="Cambria Math"/>
                    <w:i/>
                    <w:sz w:val="24"/>
                    <w:szCs w:val="24"/>
                    <w:lang w:bidi="en-US"/>
                  </w:rPr>
                </m:ctrlPr>
              </m:dPr>
              <m:e>
                <m:f>
                  <m:fPr>
                    <m:ctrlPr>
                      <w:rPr>
                        <w:rFonts w:ascii="Cambria Math" w:hAnsi="Cambria Math"/>
                        <w:i/>
                        <w:sz w:val="24"/>
                        <w:szCs w:val="24"/>
                        <w:lang w:bidi="en-US"/>
                      </w:rPr>
                    </m:ctrlPr>
                  </m:fPr>
                  <m:num>
                    <m:r>
                      <w:rPr>
                        <w:rFonts w:ascii="Cambria Math" w:hAnsi="Cambria Math"/>
                        <w:sz w:val="24"/>
                        <w:szCs w:val="24"/>
                        <w:lang w:bidi="en-US"/>
                      </w:rPr>
                      <m:t>100</m:t>
                    </m:r>
                  </m:num>
                  <m:den>
                    <m:rad>
                      <m:radPr>
                        <m:degHide m:val="1"/>
                        <m:ctrlPr>
                          <w:rPr>
                            <w:rFonts w:ascii="Cambria Math" w:hAnsi="Cambria Math"/>
                            <w:i/>
                            <w:sz w:val="24"/>
                            <w:szCs w:val="24"/>
                            <w:lang w:bidi="en-US"/>
                          </w:rPr>
                        </m:ctrlPr>
                      </m:radPr>
                      <m:deg/>
                      <m:e>
                        <m:r>
                          <w:rPr>
                            <w:rFonts w:ascii="Cambria Math" w:hAnsi="Cambria Math"/>
                            <w:sz w:val="24"/>
                            <w:szCs w:val="24"/>
                            <w:lang w:bidi="en-US"/>
                          </w:rPr>
                          <m:t>1+</m:t>
                        </m:r>
                        <m:f>
                          <m:fPr>
                            <m:ctrlPr>
                              <w:rPr>
                                <w:rFonts w:ascii="Cambria Math" w:hAnsi="Cambria Math"/>
                                <w:i/>
                                <w:sz w:val="24"/>
                                <w:szCs w:val="24"/>
                                <w:lang w:bidi="en-US"/>
                              </w:rPr>
                            </m:ctrlPr>
                          </m:fPr>
                          <m:num>
                            <m:nary>
                              <m:naryPr>
                                <m:chr m:val="∑"/>
                                <m:limLoc m:val="subSup"/>
                                <m:ctrlPr>
                                  <w:rPr>
                                    <w:rFonts w:ascii="Cambria Math" w:hAnsi="Cambria Math"/>
                                    <w:i/>
                                    <w:sz w:val="24"/>
                                    <w:szCs w:val="24"/>
                                    <w:lang w:bidi="en-US"/>
                                  </w:rPr>
                                </m:ctrlPr>
                              </m:naryPr>
                              <m:sub>
                                <m:r>
                                  <m:rPr>
                                    <m:sty m:val="p"/>
                                  </m:rPr>
                                  <w:rPr>
                                    <w:rFonts w:ascii="Cambria Math" w:hAnsi="Cambria Math"/>
                                    <w:sz w:val="24"/>
                                    <w:szCs w:val="24"/>
                                    <w:lang w:bidi="en-US"/>
                                  </w:rPr>
                                  <m:t>t=1</m:t>
                                </m:r>
                              </m:sub>
                              <m:sup>
                                <m:r>
                                  <m:rPr>
                                    <m:sty m:val="p"/>
                                  </m:rPr>
                                  <w:rPr>
                                    <w:rFonts w:ascii="Cambria Math" w:hAnsi="Cambria Math"/>
                                    <w:sz w:val="24"/>
                                    <w:szCs w:val="24"/>
                                    <w:lang w:bidi="en-US"/>
                                  </w:rPr>
                                  <m:t>t=n</m:t>
                                </m:r>
                              </m:sup>
                              <m:e>
                                <m:sSup>
                                  <m:sSupPr>
                                    <m:ctrlPr>
                                      <w:rPr>
                                        <w:rFonts w:ascii="Cambria Math" w:hAnsi="Cambria Math"/>
                                        <w:sz w:val="24"/>
                                        <w:szCs w:val="24"/>
                                        <w:lang w:eastAsia="en-GB" w:bidi="en-GB"/>
                                      </w:rPr>
                                    </m:ctrlPr>
                                  </m:sSupPr>
                                  <m:e>
                                    <m:d>
                                      <m:dPr>
                                        <m:begChr m:val="["/>
                                        <m:endChr m:val="]"/>
                                        <m:ctrlPr>
                                          <w:rPr>
                                            <w:rFonts w:ascii="Cambria Math" w:hAnsi="Cambria Math"/>
                                            <w:i/>
                                            <w:sz w:val="24"/>
                                            <w:szCs w:val="24"/>
                                            <w:lang w:bidi="en-US"/>
                                          </w:rPr>
                                        </m:ctrlPr>
                                      </m:dPr>
                                      <m:e>
                                        <m:acc>
                                          <m:accPr>
                                            <m:chr m:val="̅"/>
                                            <m:ctrlPr>
                                              <w:rPr>
                                                <w:rFonts w:ascii="Cambria Math" w:hAnsi="Cambria Math"/>
                                                <w:i/>
                                                <w:sz w:val="24"/>
                                                <w:szCs w:val="24"/>
                                                <w:lang w:val="en-GB" w:eastAsia="en-GB" w:bidi="en-GB"/>
                                              </w:rPr>
                                            </m:ctrlPr>
                                          </m:accPr>
                                          <m:e>
                                            <m:sSub>
                                              <m:sSubPr>
                                                <m:ctrlPr>
                                                  <w:rPr>
                                                    <w:rFonts w:ascii="Cambria Math" w:hAnsi="Cambria Math"/>
                                                    <w:sz w:val="24"/>
                                                    <w:szCs w:val="24"/>
                                                    <w:lang w:val="en-GB" w:eastAsia="en-GB" w:bidi="en-GB"/>
                                                  </w:rPr>
                                                </m:ctrlPr>
                                              </m:sSubPr>
                                              <m:e>
                                                <m:r>
                                                  <m:rPr>
                                                    <m:sty m:val="p"/>
                                                  </m:rPr>
                                                  <w:rPr>
                                                    <w:rFonts w:ascii="Cambria Math" w:hAnsi="Cambria Math"/>
                                                    <w:sz w:val="24"/>
                                                    <w:szCs w:val="24"/>
                                                    <w:lang w:val="en-GB" w:eastAsia="en-GB" w:bidi="en-GB"/>
                                                  </w:rPr>
                                                  <m:t>Q</m:t>
                                                </m:r>
                                              </m:e>
                                              <m:sub>
                                                <m:r>
                                                  <m:rPr>
                                                    <m:sty m:val="p"/>
                                                  </m:rPr>
                                                  <w:rPr>
                                                    <w:rFonts w:ascii="Cambria Math" w:hAnsi="Cambria Math"/>
                                                    <w:sz w:val="24"/>
                                                    <w:szCs w:val="24"/>
                                                    <w:lang w:val="en-GB" w:eastAsia="en-GB" w:bidi="en-GB"/>
                                                  </w:rPr>
                                                  <m:t>R</m:t>
                                                </m:r>
                                              </m:sub>
                                            </m:sSub>
                                          </m:e>
                                        </m:acc>
                                        <m:d>
                                          <m:dPr>
                                            <m:ctrlPr>
                                              <w:rPr>
                                                <w:rFonts w:ascii="Cambria Math" w:hAnsi="Cambria Math"/>
                                                <w:sz w:val="24"/>
                                                <w:szCs w:val="24"/>
                                                <w:lang w:eastAsia="en-GB" w:bidi="en-GB"/>
                                              </w:rPr>
                                            </m:ctrlPr>
                                          </m:dPr>
                                          <m:e>
                                            <m:r>
                                              <m:rPr>
                                                <m:sty m:val="p"/>
                                              </m:rPr>
                                              <w:rPr>
                                                <w:rFonts w:ascii="Cambria Math" w:hAnsi="Cambria Math"/>
                                                <w:sz w:val="24"/>
                                                <w:szCs w:val="24"/>
                                                <w:lang w:val="en-GB" w:eastAsia="en-GB" w:bidi="en-GB"/>
                                              </w:rPr>
                                              <m:t>t</m:t>
                                            </m:r>
                                          </m:e>
                                        </m:d>
                                        <m:r>
                                          <m:rPr>
                                            <m:sty m:val="p"/>
                                          </m:rPr>
                                          <w:rPr>
                                            <w:rFonts w:ascii="Cambria Math" w:hAnsi="Cambria Math"/>
                                            <w:sz w:val="24"/>
                                            <w:szCs w:val="24"/>
                                            <w:lang w:eastAsia="en-GB" w:bidi="en-GB"/>
                                          </w:rPr>
                                          <m:t>-</m:t>
                                        </m:r>
                                        <m:acc>
                                          <m:accPr>
                                            <m:chr m:val="̅"/>
                                            <m:ctrlPr>
                                              <w:rPr>
                                                <w:rFonts w:ascii="Cambria Math" w:hAnsi="Cambria Math"/>
                                                <w:i/>
                                                <w:sz w:val="24"/>
                                                <w:szCs w:val="24"/>
                                                <w:lang w:val="en-GB" w:eastAsia="en-GB" w:bidi="en-GB"/>
                                              </w:rPr>
                                            </m:ctrlPr>
                                          </m:accPr>
                                          <m:e>
                                            <m:sSub>
                                              <m:sSubPr>
                                                <m:ctrlPr>
                                                  <w:rPr>
                                                    <w:rFonts w:ascii="Cambria Math" w:hAnsi="Cambria Math"/>
                                                    <w:sz w:val="24"/>
                                                    <w:szCs w:val="24"/>
                                                    <w:lang w:val="en-GB" w:eastAsia="en-GB" w:bidi="en-GB"/>
                                                  </w:rPr>
                                                </m:ctrlPr>
                                              </m:sSubPr>
                                              <m:e>
                                                <m:r>
                                                  <m:rPr>
                                                    <m:sty m:val="p"/>
                                                  </m:rPr>
                                                  <w:rPr>
                                                    <w:rFonts w:ascii="Cambria Math" w:hAnsi="Cambria Math"/>
                                                    <w:sz w:val="24"/>
                                                    <w:szCs w:val="24"/>
                                                    <w:lang w:val="en-GB" w:eastAsia="en-GB" w:bidi="en-GB"/>
                                                  </w:rPr>
                                                  <m:t>Q</m:t>
                                                </m:r>
                                              </m:e>
                                              <m:sub>
                                                <m:r>
                                                  <m:rPr>
                                                    <m:sty m:val="p"/>
                                                  </m:rPr>
                                                  <w:rPr>
                                                    <w:rFonts w:ascii="Cambria Math" w:hAnsi="Cambria Math"/>
                                                    <w:sz w:val="24"/>
                                                    <w:szCs w:val="24"/>
                                                    <w:lang w:val="en-GB" w:eastAsia="en-GB" w:bidi="en-GB"/>
                                                  </w:rPr>
                                                  <m:t>T</m:t>
                                                </m:r>
                                              </m:sub>
                                            </m:sSub>
                                          </m:e>
                                        </m:acc>
                                        <m:d>
                                          <m:dPr>
                                            <m:ctrlPr>
                                              <w:rPr>
                                                <w:rFonts w:ascii="Cambria Math" w:hAnsi="Cambria Math"/>
                                                <w:sz w:val="24"/>
                                                <w:szCs w:val="24"/>
                                                <w:lang w:eastAsia="en-GB" w:bidi="en-GB"/>
                                              </w:rPr>
                                            </m:ctrlPr>
                                          </m:dPr>
                                          <m:e>
                                            <m:r>
                                              <m:rPr>
                                                <m:sty m:val="p"/>
                                              </m:rPr>
                                              <w:rPr>
                                                <w:rFonts w:ascii="Cambria Math" w:hAnsi="Cambria Math"/>
                                                <w:sz w:val="24"/>
                                                <w:szCs w:val="24"/>
                                                <w:lang w:val="en-GB" w:eastAsia="en-GB" w:bidi="en-GB"/>
                                              </w:rPr>
                                              <m:t>t</m:t>
                                            </m:r>
                                          </m:e>
                                        </m:d>
                                        <m:ctrlPr>
                                          <w:rPr>
                                            <w:rFonts w:ascii="Cambria Math" w:hAnsi="Cambria Math"/>
                                            <w:sz w:val="24"/>
                                            <w:szCs w:val="24"/>
                                            <w:lang w:eastAsia="en-GB" w:bidi="en-GB"/>
                                          </w:rPr>
                                        </m:ctrlPr>
                                      </m:e>
                                    </m:d>
                                  </m:e>
                                  <m:sup>
                                    <m:r>
                                      <m:rPr>
                                        <m:sty m:val="p"/>
                                      </m:rPr>
                                      <w:rPr>
                                        <w:rFonts w:ascii="Cambria Math" w:hAnsi="Cambria Math"/>
                                        <w:sz w:val="24"/>
                                        <w:szCs w:val="24"/>
                                        <w:lang w:eastAsia="en-GB" w:bidi="en-GB"/>
                                      </w:rPr>
                                      <m:t>2</m:t>
                                    </m:r>
                                  </m:sup>
                                </m:sSup>
                              </m:e>
                            </m:nary>
                          </m:num>
                          <m:den>
                            <m:r>
                              <m:rPr>
                                <m:sty m:val="p"/>
                              </m:rPr>
                              <w:rPr>
                                <w:rFonts w:ascii="Cambria Math" w:hAnsi="Cambria Math"/>
                                <w:sz w:val="24"/>
                                <w:szCs w:val="24"/>
                                <w:lang w:bidi="en-US"/>
                              </w:rPr>
                              <m:t>n</m:t>
                            </m:r>
                          </m:den>
                        </m:f>
                      </m:e>
                    </m:rad>
                  </m:den>
                </m:f>
              </m:e>
            </m:d>
          </m:e>
        </m:func>
      </m:oMath>
    </w:p>
    <w:p w:rsidR="00BD2893" w:rsidRPr="000E0324" w:rsidRDefault="00BD2893" w:rsidP="00BD2893">
      <w:pPr>
        <w:spacing w:after="120"/>
        <w:ind w:right="-8" w:firstLine="567"/>
        <w:jc w:val="both"/>
        <w:rPr>
          <w:rFonts w:ascii="Times New Roman" w:hAnsi="Times New Roman" w:cs="Times New Roman"/>
          <w:sz w:val="24"/>
          <w:szCs w:val="24"/>
        </w:rPr>
      </w:pPr>
    </w:p>
    <w:p w:rsidR="005661C0" w:rsidRPr="00BD36AD" w:rsidRDefault="00855820" w:rsidP="000E0324">
      <w:pPr>
        <w:spacing w:before="4" w:after="0" w:line="360" w:lineRule="auto"/>
        <w:ind w:left="102" w:right="39" w:firstLine="708"/>
        <w:jc w:val="both"/>
        <w:rPr>
          <w:rFonts w:ascii="Times New Roman" w:eastAsia="Times New Roman" w:hAnsi="Times New Roman" w:cs="Times New Roman"/>
          <w:sz w:val="24"/>
          <w:szCs w:val="24"/>
          <w:lang w:val="ru-RU"/>
        </w:rPr>
      </w:pPr>
      <w:r w:rsidRPr="00BD36AD">
        <w:rPr>
          <w:rFonts w:ascii="Times New Roman" w:eastAsia="Times New Roman" w:hAnsi="Times New Roman" w:cs="Times New Roman"/>
          <w:sz w:val="24"/>
          <w:szCs w:val="24"/>
          <w:lang w:val="ru-RU"/>
        </w:rPr>
        <w:t>где:</w:t>
      </w:r>
    </w:p>
    <w:p w:rsidR="005661C0" w:rsidRPr="00BD36AD" w:rsidRDefault="00855820" w:rsidP="000E0324">
      <w:pPr>
        <w:spacing w:before="4" w:after="0" w:line="360" w:lineRule="auto"/>
        <w:ind w:left="102" w:right="39" w:firstLine="708"/>
        <w:jc w:val="both"/>
        <w:rPr>
          <w:rFonts w:ascii="Times New Roman" w:eastAsia="Times New Roman" w:hAnsi="Times New Roman" w:cs="Times New Roman"/>
          <w:sz w:val="24"/>
          <w:szCs w:val="24"/>
          <w:lang w:val="ru-RU"/>
        </w:rPr>
      </w:pPr>
      <w:r w:rsidRPr="00BD36AD">
        <w:rPr>
          <w:rFonts w:ascii="Times New Roman" w:eastAsia="Times New Roman" w:hAnsi="Times New Roman" w:cs="Times New Roman"/>
          <w:sz w:val="24"/>
          <w:szCs w:val="24"/>
          <w:lang w:val="ru-RU"/>
        </w:rPr>
        <w:t>f2 – фактор подобия (сходимости);</w:t>
      </w:r>
    </w:p>
    <w:p w:rsidR="005661C0" w:rsidRPr="00BD36AD" w:rsidRDefault="00855820" w:rsidP="000E0324">
      <w:pPr>
        <w:spacing w:before="4" w:after="0" w:line="360" w:lineRule="auto"/>
        <w:ind w:left="102" w:right="39" w:firstLine="708"/>
        <w:jc w:val="both"/>
        <w:rPr>
          <w:rFonts w:ascii="Times New Roman" w:eastAsia="Times New Roman" w:hAnsi="Times New Roman" w:cs="Times New Roman"/>
          <w:sz w:val="24"/>
          <w:szCs w:val="24"/>
          <w:lang w:val="ru-RU"/>
        </w:rPr>
      </w:pPr>
      <w:r w:rsidRPr="00BD36AD">
        <w:rPr>
          <w:rFonts w:ascii="Times New Roman" w:eastAsia="Times New Roman" w:hAnsi="Times New Roman" w:cs="Times New Roman"/>
          <w:sz w:val="24"/>
          <w:szCs w:val="24"/>
          <w:lang w:val="ru-RU"/>
        </w:rPr>
        <w:t>n – количество временных точек;</w:t>
      </w:r>
    </w:p>
    <w:p w:rsidR="00BD2893" w:rsidRPr="00BD36AD" w:rsidRDefault="002A2D1C" w:rsidP="000E0324">
      <w:pPr>
        <w:spacing w:before="4" w:after="0" w:line="360" w:lineRule="auto"/>
        <w:ind w:left="102" w:right="39" w:firstLine="708"/>
        <w:jc w:val="both"/>
        <w:rPr>
          <w:rFonts w:ascii="Times New Roman" w:hAnsi="Times New Roman" w:cs="Times New Roman"/>
          <w:sz w:val="24"/>
          <w:szCs w:val="24"/>
          <w:lang w:val="ru-RU"/>
        </w:rPr>
      </w:pPr>
      <m:oMath>
        <m:acc>
          <m:accPr>
            <m:chr m:val="̅"/>
            <m:ctrlPr>
              <w:rPr>
                <w:rFonts w:ascii="Cambria Math" w:eastAsia="Times New Roman" w:hAnsi="Times New Roman" w:cs="Times New Roman"/>
                <w:sz w:val="24"/>
                <w:szCs w:val="24"/>
                <w:lang w:val="ru-RU"/>
              </w:rPr>
            </m:ctrlPr>
          </m:accPr>
          <m:e>
            <m:sSub>
              <m:sSubPr>
                <m:ctrlPr>
                  <w:rPr>
                    <w:rFonts w:ascii="Cambria Math" w:eastAsia="Times New Roman" w:hAnsi="Times New Roman" w:cs="Times New Roman"/>
                    <w:sz w:val="24"/>
                    <w:szCs w:val="24"/>
                    <w:lang w:val="ru-RU"/>
                  </w:rPr>
                </m:ctrlPr>
              </m:sSubPr>
              <m:e>
                <m:r>
                  <m:rPr>
                    <m:sty m:val="p"/>
                  </m:rPr>
                  <w:rPr>
                    <w:rFonts w:ascii="Cambria Math" w:eastAsia="Times New Roman" w:hAnsi="Cambria Math" w:cs="Times New Roman"/>
                    <w:sz w:val="24"/>
                    <w:szCs w:val="24"/>
                    <w:lang w:val="ru-RU"/>
                  </w:rPr>
                  <m:t>Q</m:t>
                </m:r>
              </m:e>
              <m:sub>
                <m:r>
                  <m:rPr>
                    <m:sty m:val="p"/>
                  </m:rPr>
                  <w:rPr>
                    <w:rFonts w:ascii="Cambria Math" w:eastAsia="Times New Roman" w:hAnsi="Cambria Math" w:cs="Times New Roman"/>
                    <w:sz w:val="24"/>
                    <w:szCs w:val="24"/>
                    <w:lang w:val="ru-RU"/>
                  </w:rPr>
                  <m:t>R</m:t>
                </m:r>
              </m:sub>
            </m:sSub>
          </m:e>
        </m:acc>
      </m:oMath>
      <w:r w:rsidR="00BD2893" w:rsidRPr="00BD36AD">
        <w:rPr>
          <w:rFonts w:ascii="Times New Roman" w:eastAsia="Times New Roman" w:hAnsi="Times New Roman" w:cs="Times New Roman"/>
          <w:sz w:val="24"/>
          <w:szCs w:val="24"/>
          <w:lang w:val="ru-RU"/>
        </w:rPr>
        <w:t>(t) — среднее значение степени высвобождения (в процентах) действующего вещества в точке t [после начала исследования</w:t>
      </w:r>
      <w:r w:rsidR="00BD2893" w:rsidRPr="00BD36AD">
        <w:rPr>
          <w:rFonts w:ascii="Times New Roman" w:hAnsi="Times New Roman" w:cs="Times New Roman"/>
          <w:sz w:val="24"/>
          <w:szCs w:val="24"/>
          <w:lang w:val="ru-RU"/>
        </w:rPr>
        <w:t>] из референтного лекарственного препарата;</w:t>
      </w:r>
    </w:p>
    <w:p w:rsidR="00BD2893" w:rsidRPr="00BD36AD" w:rsidRDefault="002A2D1C" w:rsidP="00BD36AD">
      <w:pPr>
        <w:spacing w:before="4" w:after="0" w:line="360" w:lineRule="auto"/>
        <w:ind w:left="102" w:right="39" w:firstLine="708"/>
        <w:jc w:val="both"/>
        <w:rPr>
          <w:rFonts w:ascii="Times New Roman" w:hAnsi="Times New Roman" w:cs="Times New Roman"/>
          <w:sz w:val="24"/>
          <w:szCs w:val="24"/>
          <w:lang w:val="ru-RU"/>
        </w:rPr>
      </w:pPr>
      <m:oMath>
        <m:acc>
          <m:accPr>
            <m:chr m:val="̅"/>
            <m:ctrlPr>
              <w:rPr>
                <w:rFonts w:ascii="Cambria Math" w:hAnsi="Times New Roman" w:cs="Times New Roman"/>
                <w:i/>
                <w:sz w:val="24"/>
                <w:szCs w:val="24"/>
                <w:lang w:val="en-GB" w:eastAsia="en-GB" w:bidi="en-GB"/>
              </w:rPr>
            </m:ctrlPr>
          </m:accPr>
          <m:e>
            <m:sSub>
              <m:sSubPr>
                <m:ctrlPr>
                  <w:rPr>
                    <w:rFonts w:ascii="Cambria Math" w:hAnsi="Times New Roman" w:cs="Times New Roman"/>
                    <w:i/>
                    <w:sz w:val="24"/>
                    <w:szCs w:val="24"/>
                    <w:lang w:val="en-GB" w:eastAsia="en-GB" w:bidi="en-GB"/>
                  </w:rPr>
                </m:ctrlPr>
              </m:sSubPr>
              <m:e>
                <m:r>
                  <w:rPr>
                    <w:rFonts w:ascii="Cambria Math" w:hAnsi="Cambria Math" w:cs="Times New Roman"/>
                    <w:sz w:val="24"/>
                    <w:szCs w:val="24"/>
                    <w:lang w:val="en-GB" w:eastAsia="en-GB" w:bidi="en-GB"/>
                  </w:rPr>
                  <m:t>Q</m:t>
                </m:r>
              </m:e>
              <m:sub>
                <m:r>
                  <w:rPr>
                    <w:rFonts w:ascii="Cambria Math" w:hAnsi="Cambria Math" w:cs="Times New Roman"/>
                    <w:sz w:val="24"/>
                    <w:szCs w:val="24"/>
                    <w:lang w:val="en-GB" w:eastAsia="en-GB" w:bidi="en-GB"/>
                  </w:rPr>
                  <m:t>T</m:t>
                </m:r>
              </m:sub>
            </m:sSub>
          </m:e>
        </m:acc>
      </m:oMath>
      <w:r w:rsidR="00BD2893" w:rsidRPr="00BD36AD">
        <w:rPr>
          <w:rFonts w:ascii="Times New Roman" w:hAnsi="Times New Roman" w:cs="Times New Roman"/>
          <w:sz w:val="24"/>
          <w:szCs w:val="24"/>
          <w:lang w:val="ru-RU" w:eastAsia="en-GB" w:bidi="en-GB"/>
        </w:rPr>
        <w:t>(</w:t>
      </w:r>
      <w:r w:rsidR="00BD2893" w:rsidRPr="00BD36AD">
        <w:rPr>
          <w:rFonts w:ascii="Times New Roman" w:hAnsi="Times New Roman" w:cs="Times New Roman"/>
          <w:sz w:val="24"/>
          <w:szCs w:val="24"/>
          <w:lang w:val="en-GB" w:eastAsia="en-GB" w:bidi="en-GB"/>
        </w:rPr>
        <w:t>t</w:t>
      </w:r>
      <w:r w:rsidR="00BD2893" w:rsidRPr="00BD36AD">
        <w:rPr>
          <w:rFonts w:ascii="Times New Roman" w:hAnsi="Times New Roman" w:cs="Times New Roman"/>
          <w:sz w:val="24"/>
          <w:szCs w:val="24"/>
          <w:lang w:val="ru-RU" w:eastAsia="en-GB" w:bidi="en-GB"/>
        </w:rPr>
        <w:t xml:space="preserve">) </w:t>
      </w:r>
      <w:r w:rsidR="00BD2893" w:rsidRPr="00BD36AD">
        <w:rPr>
          <w:rFonts w:ascii="Times New Roman" w:hAnsi="Times New Roman" w:cs="Times New Roman"/>
          <w:sz w:val="24"/>
          <w:szCs w:val="24"/>
          <w:lang w:val="ru-RU"/>
        </w:rPr>
        <w:t xml:space="preserve">— среднее значение степени высвобождения (в процентах) действующего вещества в точке </w:t>
      </w:r>
      <w:r w:rsidR="00BD2893" w:rsidRPr="00BD36AD">
        <w:rPr>
          <w:rFonts w:ascii="Times New Roman" w:hAnsi="Times New Roman" w:cs="Times New Roman"/>
          <w:sz w:val="24"/>
          <w:szCs w:val="24"/>
          <w:lang w:val="en-GB" w:eastAsia="en-GB" w:bidi="en-GB"/>
        </w:rPr>
        <w:t>t</w:t>
      </w:r>
      <w:r w:rsidR="00BD2893" w:rsidRPr="00BD36AD">
        <w:rPr>
          <w:rFonts w:ascii="Times New Roman" w:hAnsi="Times New Roman" w:cs="Times New Roman"/>
          <w:sz w:val="24"/>
          <w:szCs w:val="24"/>
          <w:lang w:val="ru-RU" w:eastAsia="en-GB" w:bidi="en-GB"/>
        </w:rPr>
        <w:t xml:space="preserve"> </w:t>
      </w:r>
      <w:r w:rsidR="00BD2893" w:rsidRPr="00BD36AD">
        <w:rPr>
          <w:rFonts w:ascii="Times New Roman" w:hAnsi="Times New Roman" w:cs="Times New Roman"/>
          <w:sz w:val="24"/>
          <w:szCs w:val="24"/>
          <w:lang w:val="ru-RU"/>
        </w:rPr>
        <w:t>[после начала исследования] из исследуемого лекарственного препарата.</w:t>
      </w:r>
    </w:p>
    <w:p w:rsidR="00BD36AD" w:rsidRDefault="00BD36AD" w:rsidP="00903CB0">
      <w:pPr>
        <w:spacing w:after="0" w:line="359" w:lineRule="auto"/>
        <w:ind w:left="102" w:right="40" w:firstLine="708"/>
        <w:jc w:val="both"/>
        <w:rPr>
          <w:rFonts w:ascii="Times New Roman" w:eastAsia="Times New Roman" w:hAnsi="Times New Roman" w:cs="Times New Roman"/>
          <w:sz w:val="24"/>
          <w:szCs w:val="24"/>
        </w:rPr>
      </w:pPr>
    </w:p>
    <w:p w:rsidR="005661C0" w:rsidRPr="000E0324" w:rsidRDefault="00855820" w:rsidP="00903CB0">
      <w:pPr>
        <w:spacing w:after="0" w:line="359" w:lineRule="auto"/>
        <w:ind w:left="102" w:right="40" w:firstLine="708"/>
        <w:jc w:val="both"/>
        <w:rPr>
          <w:rFonts w:ascii="Times New Roman" w:eastAsia="Times New Roman" w:hAnsi="Times New Roman" w:cs="Times New Roman"/>
          <w:sz w:val="24"/>
          <w:szCs w:val="24"/>
          <w:lang w:val="ru-RU"/>
        </w:rPr>
      </w:pPr>
      <w:r w:rsidRPr="00BD36AD">
        <w:rPr>
          <w:rFonts w:ascii="Times New Roman" w:eastAsia="Times New Roman" w:hAnsi="Times New Roman" w:cs="Times New Roman"/>
          <w:sz w:val="24"/>
          <w:szCs w:val="24"/>
          <w:lang w:val="ru-RU"/>
        </w:rPr>
        <w:t>При использовании данной формулы необходимо определить степень высвобождения действующего вещества из исследуемого лекарственного препарата и референтного</w:t>
      </w:r>
      <w:r w:rsidRPr="000E0324">
        <w:rPr>
          <w:rFonts w:ascii="Times New Roman" w:eastAsia="Times New Roman" w:hAnsi="Times New Roman" w:cs="Times New Roman"/>
          <w:sz w:val="24"/>
          <w:szCs w:val="24"/>
          <w:lang w:val="ru-RU"/>
        </w:rPr>
        <w:t xml:space="preserve"> лекарственного препарата.</w:t>
      </w:r>
    </w:p>
    <w:p w:rsidR="005661C0" w:rsidRPr="000E0324" w:rsidRDefault="00855820" w:rsidP="00903CB0">
      <w:pPr>
        <w:spacing w:before="7" w:after="0" w:line="360"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 Оценка фактора подобия (сходимости) основана на следующих условиях:</w:t>
      </w:r>
    </w:p>
    <w:p w:rsidR="005661C0" w:rsidRPr="000E0324" w:rsidRDefault="00855820" w:rsidP="00903CB0">
      <w:pPr>
        <w:spacing w:before="4" w:after="0" w:line="360"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минимальное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точек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считая нулевой точки отбора);</w:t>
      </w:r>
    </w:p>
    <w:p w:rsidR="005661C0" w:rsidRPr="000E0324" w:rsidRDefault="00855820" w:rsidP="00903CB0">
      <w:pPr>
        <w:spacing w:before="6" w:after="0" w:line="359"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для обоих сравниваемых лекарственных препаратов выбираются одинаковые временные точки;</w:t>
      </w:r>
    </w:p>
    <w:p w:rsidR="005661C0" w:rsidRPr="000E0324" w:rsidRDefault="00855820" w:rsidP="00903CB0">
      <w:pPr>
        <w:spacing w:before="8"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для каждой временной точки необходимо минимум 12 значений степени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обоих лекарственных препаратов;</w:t>
      </w:r>
    </w:p>
    <w:p w:rsidR="005661C0" w:rsidRPr="000E0324" w:rsidRDefault="00855820" w:rsidP="00903CB0">
      <w:pPr>
        <w:spacing w:before="7" w:after="0" w:line="359"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случая превышения среднего значения степени высвобождения 85 %;</w:t>
      </w:r>
    </w:p>
    <w:p w:rsidR="005661C0" w:rsidRPr="000E0324" w:rsidRDefault="00855820" w:rsidP="00903CB0">
      <w:pPr>
        <w:spacing w:before="21"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 относительное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отклонение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(коэффициент вариации) для степени высвобождения действующего вещества в первой временной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любого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 превышать 20 %, а во всех последующих – не более 10 %.</w:t>
      </w:r>
    </w:p>
    <w:p w:rsidR="005661C0" w:rsidRPr="000E0324" w:rsidRDefault="00855820" w:rsidP="00903CB0">
      <w:pPr>
        <w:spacing w:before="7" w:after="0" w:line="342" w:lineRule="auto"/>
        <w:ind w:left="102" w:right="4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 Критерий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фактора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подобия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i/>
          <w:sz w:val="24"/>
          <w:szCs w:val="24"/>
        </w:rPr>
        <w:t>f</w:t>
      </w:r>
      <w:r w:rsidRPr="000E0324">
        <w:rPr>
          <w:rFonts w:ascii="Times New Roman" w:eastAsia="Times New Roman" w:hAnsi="Times New Roman" w:cs="Times New Roman"/>
          <w:w w:val="99"/>
          <w:position w:val="-4"/>
          <w:sz w:val="24"/>
          <w:szCs w:val="24"/>
          <w:lang w:val="ru-RU"/>
        </w:rPr>
        <w:t>2</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составляет от 50 до 100, что подтверждает сопоставимость профилей растворения.</w:t>
      </w:r>
    </w:p>
    <w:p w:rsidR="005661C0" w:rsidRPr="000E0324" w:rsidRDefault="00855820" w:rsidP="00903CB0">
      <w:pPr>
        <w:spacing w:before="31" w:after="0" w:line="351"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несоответствия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f</w:t>
      </w:r>
      <w:r w:rsidRPr="000E0324">
        <w:rPr>
          <w:rFonts w:ascii="Times New Roman" w:eastAsia="Times New Roman" w:hAnsi="Times New Roman" w:cs="Times New Roman"/>
          <w:w w:val="99"/>
          <w:position w:val="-4"/>
          <w:sz w:val="24"/>
          <w:szCs w:val="24"/>
          <w:lang w:val="ru-RU"/>
        </w:rPr>
        <w:t>2</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профили 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альтернативные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методы (например,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фактора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f</w:t>
      </w:r>
      <w:r w:rsidRPr="000E0324">
        <w:rPr>
          <w:rFonts w:ascii="Times New Roman" w:eastAsia="Times New Roman" w:hAnsi="Times New Roman" w:cs="Times New Roman"/>
          <w:i/>
          <w:position w:val="-4"/>
          <w:sz w:val="24"/>
          <w:szCs w:val="24"/>
          <w:lang w:val="ru-RU"/>
        </w:rPr>
        <w:t>1</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функцию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распределения Вейбулла или сравнение степеней высвобождения в разных временных точках (например, по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sz w:val="24"/>
          <w:szCs w:val="24"/>
          <w:lang w:val="ru-RU"/>
        </w:rPr>
        <w:t>-критерию Стьюдента)).</w:t>
      </w:r>
    </w:p>
    <w:p w:rsidR="005661C0" w:rsidRPr="000E0324" w:rsidRDefault="00855820" w:rsidP="00903CB0">
      <w:pPr>
        <w:spacing w:before="18" w:after="0" w:line="351"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12. Методы,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альтернативные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расчету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f</w:t>
      </w:r>
      <w:r w:rsidRPr="000E0324">
        <w:rPr>
          <w:rFonts w:ascii="Times New Roman" w:eastAsia="Times New Roman" w:hAnsi="Times New Roman" w:cs="Times New Roman"/>
          <w:w w:val="99"/>
          <w:position w:val="-4"/>
          <w:sz w:val="24"/>
          <w:szCs w:val="24"/>
          <w:lang w:val="ru-RU"/>
        </w:rPr>
        <w:t>2</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считаются приемлемыми,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корректны,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использование достаточно обосновано.</w:t>
      </w:r>
    </w:p>
    <w:p w:rsidR="005661C0" w:rsidRPr="000E0324" w:rsidRDefault="00855820" w:rsidP="00903CB0">
      <w:pPr>
        <w:spacing w:before="18"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13.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пределы 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сопоставимости,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 превышать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Кроме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 данными исследуемого и референтного лекарственного препарата также 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сопоставимой,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низкая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исследуемого лекарственного препарата является приемлемой.</w:t>
      </w:r>
    </w:p>
    <w:p w:rsidR="005661C0" w:rsidRPr="000E0324" w:rsidRDefault="00855820" w:rsidP="00903CB0">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статистическое программное обеспечение прошло валидацию.</w:t>
      </w:r>
    </w:p>
    <w:p w:rsidR="005661C0" w:rsidRPr="000E0324" w:rsidRDefault="00855820" w:rsidP="00903CB0">
      <w:pPr>
        <w:spacing w:before="6" w:after="0" w:line="359"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подробное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объяснение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всем действиям,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предпринятым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представлением соответствующих обобщающих таблиц.</w:t>
      </w:r>
    </w:p>
    <w:p w:rsidR="005661C0" w:rsidRPr="000E0324" w:rsidRDefault="005661C0" w:rsidP="00903CB0">
      <w:pPr>
        <w:spacing w:after="0" w:line="359" w:lineRule="auto"/>
        <w:jc w:val="both"/>
        <w:rPr>
          <w:rFonts w:ascii="Times New Roman" w:eastAsia="Times New Roman" w:hAnsi="Times New Roman" w:cs="Times New Roman"/>
          <w:sz w:val="24"/>
          <w:szCs w:val="24"/>
          <w:lang w:val="ru-RU"/>
        </w:rPr>
      </w:pPr>
    </w:p>
    <w:p w:rsidR="00BD2893" w:rsidRPr="000E0324" w:rsidRDefault="00BD2893">
      <w:pP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br w:type="page"/>
      </w:r>
    </w:p>
    <w:p w:rsidR="005661C0" w:rsidRPr="000E0324" w:rsidRDefault="00855820" w:rsidP="00903CB0">
      <w:pPr>
        <w:spacing w:before="66" w:after="0" w:line="240" w:lineRule="auto"/>
        <w:ind w:left="5668" w:right="112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ПРИЛОЖЕНИЕ № 6</w:t>
      </w:r>
    </w:p>
    <w:p w:rsidR="005661C0" w:rsidRPr="000E0324" w:rsidRDefault="00855820" w:rsidP="00903CB0">
      <w:pPr>
        <w:spacing w:after="0" w:line="240" w:lineRule="auto"/>
        <w:ind w:left="4684" w:right="13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 Правилам проведения исследований биоэквивалентности лекарственных препаратов в рамках Евразийского экономического союза</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3688" w:right="3680"/>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b/>
          <w:bCs/>
          <w:sz w:val="24"/>
          <w:szCs w:val="24"/>
          <w:lang w:val="ru-RU"/>
        </w:rPr>
        <w:t>ТРЕБОВАНИЯ</w:t>
      </w:r>
    </w:p>
    <w:p w:rsidR="005661C0" w:rsidRPr="000E0324" w:rsidRDefault="00855820" w:rsidP="00903CB0">
      <w:pPr>
        <w:spacing w:before="1" w:after="0" w:line="346" w:lineRule="exact"/>
        <w:ind w:left="1177" w:right="1170"/>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b/>
          <w:bCs/>
          <w:sz w:val="24"/>
          <w:szCs w:val="24"/>
          <w:lang w:val="ru-RU"/>
        </w:rPr>
        <w:t>к валидации биоаналитических методик испытаний и анализу исследуемых биологических образцов</w:t>
      </w:r>
    </w:p>
    <w:p w:rsidR="005661C0" w:rsidRPr="000E0324" w:rsidRDefault="005661C0" w:rsidP="00903CB0">
      <w:pPr>
        <w:spacing w:before="15" w:after="0" w:line="280" w:lineRule="exact"/>
        <w:rPr>
          <w:rFonts w:ascii="Times New Roman" w:hAnsi="Times New Roman" w:cs="Times New Roman"/>
          <w:sz w:val="24"/>
          <w:szCs w:val="24"/>
          <w:lang w:val="ru-RU"/>
        </w:rPr>
      </w:pPr>
    </w:p>
    <w:p w:rsidR="005661C0" w:rsidRPr="000E0324" w:rsidRDefault="00855820" w:rsidP="00903CB0">
      <w:pPr>
        <w:spacing w:after="0" w:line="240" w:lineRule="auto"/>
        <w:ind w:left="3429" w:right="3418"/>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w:t>
      </w:r>
      <w:r w:rsidRPr="000E0324">
        <w:rPr>
          <w:rFonts w:ascii="Times New Roman" w:eastAsia="Times New Roman" w:hAnsi="Times New Roman" w:cs="Times New Roman"/>
          <w:sz w:val="24"/>
          <w:szCs w:val="24"/>
          <w:lang w:val="ru-RU"/>
        </w:rPr>
        <w:t>. Общие положения</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проведению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использовавшихся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биологических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жидкостях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(матрицах),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результатам токсикокинетических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клинических 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Поскольку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связывания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лиганда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существенно отличаются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хроматографических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полимерсвязывающих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связыванием лигандов)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применяются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w:t>
      </w:r>
      <w:r w:rsidRPr="000E0324">
        <w:rPr>
          <w:rFonts w:ascii="Times New Roman" w:eastAsia="Times New Roman" w:hAnsi="Times New Roman" w:cs="Times New Roman"/>
          <w:sz w:val="24"/>
          <w:szCs w:val="24"/>
          <w:lang w:val="ru-RU"/>
        </w:rPr>
        <w:t xml:space="preserve"> настоящих Требований.</w:t>
      </w:r>
    </w:p>
    <w:p w:rsidR="005661C0" w:rsidRPr="000E0324" w:rsidRDefault="00855820" w:rsidP="00903CB0">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дополнение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 необходимо провести частичную или перекрестную валидацию.</w:t>
      </w:r>
    </w:p>
    <w:p w:rsidR="005661C0" w:rsidRPr="000E0324" w:rsidRDefault="00855820" w:rsidP="00903CB0">
      <w:pPr>
        <w:spacing w:before="4" w:after="0" w:line="360" w:lineRule="auto"/>
        <w:ind w:left="102" w:right="4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понятия, которые означают следующее:</w:t>
      </w:r>
    </w:p>
    <w:p w:rsidR="005661C0" w:rsidRPr="000E0324" w:rsidRDefault="00855820" w:rsidP="00903CB0">
      <w:pPr>
        <w:spacing w:before="4"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«активные образцы» (</w:t>
      </w:r>
      <w:r w:rsidRPr="000E0324">
        <w:rPr>
          <w:rFonts w:ascii="Times New Roman" w:eastAsia="Times New Roman" w:hAnsi="Times New Roman" w:cs="Times New Roman"/>
          <w:sz w:val="24"/>
          <w:szCs w:val="24"/>
        </w:rPr>
        <w:t>incurred</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samples</w:t>
      </w:r>
      <w:r w:rsidRPr="000E0324">
        <w:rPr>
          <w:rFonts w:ascii="Times New Roman" w:eastAsia="Times New Roman" w:hAnsi="Times New Roman" w:cs="Times New Roman"/>
          <w:sz w:val="24"/>
          <w:szCs w:val="24"/>
          <w:lang w:val="ru-RU"/>
        </w:rPr>
        <w:t>) – испытуемые образцы, полученные от субъектов или животных, которым вводили лекарственный препарат;</w:t>
      </w:r>
    </w:p>
    <w:p w:rsidR="005661C0" w:rsidRPr="000E0324" w:rsidRDefault="00855820" w:rsidP="00903CB0">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«анализируемое вещество» (</w:t>
      </w:r>
      <w:r w:rsidRPr="000E0324">
        <w:rPr>
          <w:rFonts w:ascii="Times New Roman" w:eastAsia="Times New Roman" w:hAnsi="Times New Roman" w:cs="Times New Roman"/>
          <w:sz w:val="24"/>
          <w:szCs w:val="24"/>
        </w:rPr>
        <w:t>analyte</w:t>
      </w:r>
      <w:r w:rsidRPr="000E0324">
        <w:rPr>
          <w:rFonts w:ascii="Times New Roman" w:eastAsia="Times New Roman" w:hAnsi="Times New Roman" w:cs="Times New Roman"/>
          <w:sz w:val="24"/>
          <w:szCs w:val="24"/>
          <w:lang w:val="ru-RU"/>
        </w:rPr>
        <w:t>) – отдельное химическое соединение,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подлежащее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 представлять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собой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неизмененное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 биологическую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молекулу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продукт деградации в биологическом образце;</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«аналитическая методика» (</w:t>
      </w:r>
      <w:r w:rsidRPr="000E0324">
        <w:rPr>
          <w:rFonts w:ascii="Times New Roman" w:eastAsia="Times New Roman" w:hAnsi="Times New Roman" w:cs="Times New Roman"/>
          <w:sz w:val="24"/>
          <w:szCs w:val="24"/>
        </w:rPr>
        <w:t>analytical</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procedure</w:t>
      </w:r>
      <w:r w:rsidRPr="000E0324">
        <w:rPr>
          <w:rFonts w:ascii="Times New Roman" w:eastAsia="Times New Roman" w:hAnsi="Times New Roman" w:cs="Times New Roman"/>
          <w:sz w:val="24"/>
          <w:szCs w:val="24"/>
          <w:lang w:val="ru-RU"/>
        </w:rPr>
        <w:t>) – подробное описание каждого этапа и способа проведения анализа;</w:t>
      </w:r>
    </w:p>
    <w:p w:rsidR="005661C0" w:rsidRPr="000E0324" w:rsidRDefault="00855820" w:rsidP="00903CB0">
      <w:pPr>
        <w:spacing w:before="4"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«аналитический диапазон» (</w:t>
      </w:r>
      <w:r w:rsidRPr="000E0324">
        <w:rPr>
          <w:rFonts w:ascii="Times New Roman" w:eastAsia="Times New Roman" w:hAnsi="Times New Roman" w:cs="Times New Roman"/>
          <w:sz w:val="24"/>
          <w:szCs w:val="24"/>
        </w:rPr>
        <w:t>calibration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range</w:t>
      </w:r>
      <w:r w:rsidRPr="000E0324">
        <w:rPr>
          <w:rFonts w:ascii="Times New Roman" w:eastAsia="Times New Roman" w:hAnsi="Times New Roman" w:cs="Times New Roman"/>
          <w:sz w:val="24"/>
          <w:szCs w:val="24"/>
          <w:lang w:val="ru-RU"/>
        </w:rPr>
        <w:t>) – интервал между высокой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низкой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 показано,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удовлетворяет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прецизионности, правильности и постоянству функции отклика;</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analytical</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run</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комплект испытуемых образцов с соответствующим количеством градуировочных растворов и образцов для контроля качества для их валидации. В один день может быть проведено несколько циклов; один цикл может длиться в течение нескольких дней;</w:t>
      </w:r>
    </w:p>
    <w:p w:rsidR="005661C0" w:rsidRPr="000E0324" w:rsidRDefault="00855820" w:rsidP="00903CB0">
      <w:pPr>
        <w:spacing w:before="4"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«верхняя граница определяемых концентраций» (</w:t>
      </w:r>
      <w:r w:rsidRPr="000E0324">
        <w:rPr>
          <w:rFonts w:ascii="Times New Roman" w:eastAsia="Times New Roman" w:hAnsi="Times New Roman" w:cs="Times New Roman"/>
          <w:sz w:val="24"/>
          <w:szCs w:val="24"/>
        </w:rPr>
        <w:t>upper</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limit</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of</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quantification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ULOQ</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наибольшее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 вещества в образце, которое поддается количественному определению с заранее заданной правильностью и прецизионностью;</w:t>
      </w:r>
    </w:p>
    <w:p w:rsidR="005661C0" w:rsidRPr="000E0324" w:rsidRDefault="00855820" w:rsidP="00903CB0">
      <w:pPr>
        <w:spacing w:before="7" w:after="0" w:line="360"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«внутренний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internal</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standard</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контрольное соединение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структурно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схожий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аналог</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соединение, меченное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изотопом),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добавляемое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градуировочным растворам,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заранее установленных постоянных концентрациях с целью поправки на экспериментальную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анализе образцов;</w:t>
      </w:r>
    </w:p>
    <w:p w:rsidR="005661C0" w:rsidRPr="000E0324" w:rsidRDefault="00855820" w:rsidP="00903CB0">
      <w:pPr>
        <w:spacing w:before="21"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«градуировочный раствор (стандарт)» (</w:t>
      </w:r>
      <w:r w:rsidRPr="000E0324">
        <w:rPr>
          <w:rFonts w:ascii="Times New Roman" w:eastAsia="Times New Roman" w:hAnsi="Times New Roman" w:cs="Times New Roman"/>
          <w:sz w:val="24"/>
          <w:szCs w:val="24"/>
        </w:rPr>
        <w:t>calibration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standard</w:t>
      </w:r>
      <w:r w:rsidRPr="000E0324">
        <w:rPr>
          <w:rFonts w:ascii="Times New Roman" w:eastAsia="Times New Roman" w:hAnsi="Times New Roman" w:cs="Times New Roman"/>
          <w:sz w:val="24"/>
          <w:szCs w:val="24"/>
          <w:lang w:val="ru-RU"/>
        </w:rPr>
        <w:t>) – биологический образец, к которому добавили известное количество анализируемого вещества. Градуировочные растворы (стандарты) используют для построения градуировочной кривой;</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«нижний предел количественного определения (НПКО)» (</w:t>
      </w:r>
      <w:r w:rsidRPr="000E0324">
        <w:rPr>
          <w:rFonts w:ascii="Times New Roman" w:eastAsia="Times New Roman" w:hAnsi="Times New Roman" w:cs="Times New Roman"/>
          <w:sz w:val="24"/>
          <w:szCs w:val="24"/>
        </w:rPr>
        <w:t>lower</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limit</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of</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quantification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LLOQ</w:t>
      </w:r>
      <w:r w:rsidRPr="000E0324">
        <w:rPr>
          <w:rFonts w:ascii="Times New Roman" w:eastAsia="Times New Roman" w:hAnsi="Times New Roman" w:cs="Times New Roman"/>
          <w:sz w:val="24"/>
          <w:szCs w:val="24"/>
          <w:lang w:val="ru-RU"/>
        </w:rPr>
        <w:t>)) – наименьшее количество анализируемого вещества в образце, которое поддается количественному определению с заранее заданной правильностью и прецизионностью;</w:t>
      </w:r>
    </w:p>
    <w:p w:rsidR="005661C0" w:rsidRPr="000E0324" w:rsidRDefault="00855820" w:rsidP="00BD2893">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«номинальная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nominal</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concentration</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теоретическая или ожидаемая концентрация;</w:t>
      </w:r>
    </w:p>
    <w:p w:rsidR="005661C0" w:rsidRPr="000E0324" w:rsidRDefault="00855820" w:rsidP="00BD2893">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«образец для контроля качества (КК)» (quality control (QC) sample)</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образец, содержащий анализируемое вещество, используемый для оценки пригодности биоаналитической методики и оценки целостности 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неизвестной концентрации из одной серии;</w:t>
      </w:r>
    </w:p>
    <w:p w:rsidR="005661C0" w:rsidRPr="000E0324" w:rsidRDefault="00855820" w:rsidP="00903CB0">
      <w:pPr>
        <w:spacing w:before="5" w:after="0" w:line="360"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«перекрестная валидация» (</w:t>
      </w:r>
      <w:r w:rsidRPr="000E0324">
        <w:rPr>
          <w:rFonts w:ascii="Times New Roman" w:eastAsia="Times New Roman" w:hAnsi="Times New Roman" w:cs="Times New Roman"/>
          <w:sz w:val="24"/>
          <w:szCs w:val="24"/>
        </w:rPr>
        <w:t>cross</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validation</w:t>
      </w:r>
      <w:r w:rsidRPr="000E0324">
        <w:rPr>
          <w:rFonts w:ascii="Times New Roman" w:eastAsia="Times New Roman" w:hAnsi="Times New Roman" w:cs="Times New Roman"/>
          <w:sz w:val="24"/>
          <w:szCs w:val="24"/>
          <w:lang w:val="ru-RU"/>
        </w:rPr>
        <w:t>) – сравнение валидационных параметров двух биоаналитических методик;</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«повторный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incurred</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sample</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reanalysis</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с целью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насколько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сопоставимы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первичного анализа;</w:t>
      </w:r>
    </w:p>
    <w:p w:rsidR="005661C0" w:rsidRPr="000E0324" w:rsidRDefault="00855820" w:rsidP="00903CB0">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«полная валидация» (</w:t>
      </w:r>
      <w:r w:rsidRPr="000E0324">
        <w:rPr>
          <w:rFonts w:ascii="Times New Roman" w:eastAsia="Times New Roman" w:hAnsi="Times New Roman" w:cs="Times New Roman"/>
          <w:sz w:val="24"/>
          <w:szCs w:val="24"/>
        </w:rPr>
        <w:t>full</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validation</w:t>
      </w:r>
      <w:r w:rsidRPr="000E0324">
        <w:rPr>
          <w:rFonts w:ascii="Times New Roman" w:eastAsia="Times New Roman" w:hAnsi="Times New Roman" w:cs="Times New Roman"/>
          <w:sz w:val="24"/>
          <w:szCs w:val="24"/>
          <w:lang w:val="ru-RU"/>
        </w:rPr>
        <w:t>) – определение валидационных 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подлежащих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каждого 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помощью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биоаналитической методики;</w:t>
      </w:r>
    </w:p>
    <w:p w:rsidR="005661C0" w:rsidRPr="000E0324" w:rsidRDefault="00855820" w:rsidP="00BD2893">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(accuracy)</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выражает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близость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помощью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номинальным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концентрациям 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оценивается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величине</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процентной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рассчитанной</w:t>
      </w:r>
      <w:r w:rsidR="00903CB0" w:rsidRPr="000E0324">
        <w:rPr>
          <w:rFonts w:ascii="Times New Roman" w:eastAsia="Times New Roman" w:hAnsi="Times New Roman" w:cs="Times New Roman"/>
          <w:sz w:val="24"/>
          <w:szCs w:val="24"/>
          <w:lang w:val="ru-RU"/>
        </w:rPr>
        <w:t xml:space="preserve"> </w:t>
      </w:r>
      <w:r w:rsidR="00BD2893" w:rsidRPr="000E0324">
        <w:rPr>
          <w:rFonts w:ascii="Times New Roman" w:hAnsi="Times New Roman" w:cs="Times New Roman"/>
          <w:sz w:val="24"/>
          <w:szCs w:val="24"/>
          <w:lang w:val="ru-RU"/>
        </w:rPr>
        <w:t xml:space="preserve">как </w:t>
      </w:r>
      <m:oMath>
        <m:f>
          <m:fPr>
            <m:ctrlPr>
              <w:rPr>
                <w:rFonts w:ascii="Cambria Math" w:hAnsi="Cambria Math" w:cs="Times New Roman"/>
                <w:i/>
                <w:sz w:val="24"/>
                <w:szCs w:val="24"/>
              </w:rPr>
            </m:ctrlPr>
          </m:fPr>
          <m:num>
            <m:r>
              <m:rPr>
                <m:sty m:val="p"/>
              </m:rPr>
              <w:rPr>
                <w:rFonts w:ascii="Cambria Math" w:eastAsia="CambriaMath" w:hAnsi="Cambria Math" w:cs="Times New Roman"/>
                <w:sz w:val="24"/>
                <w:szCs w:val="24"/>
                <w:lang w:val="ru-RU"/>
              </w:rPr>
              <m:t>полученное значение</m:t>
            </m:r>
          </m:num>
          <m:den>
            <m:r>
              <m:rPr>
                <m:sty m:val="p"/>
              </m:rPr>
              <w:rPr>
                <w:rFonts w:ascii="Cambria Math" w:hAnsi="Cambria Math" w:cs="Times New Roman"/>
                <w:sz w:val="24"/>
                <w:szCs w:val="24"/>
                <w:lang w:val="ru-RU"/>
              </w:rPr>
              <m:t>истинное значение</m:t>
            </m:r>
            <m:r>
              <w:rPr>
                <w:rFonts w:ascii="Cambria Math" w:hAnsi="Cambria Math" w:cs="Times New Roman"/>
                <w:sz w:val="24"/>
                <w:szCs w:val="24"/>
                <w:lang w:val="ru-RU"/>
              </w:rPr>
              <m:t xml:space="preserve"> </m:t>
            </m:r>
          </m:den>
        </m:f>
        <m:r>
          <w:rPr>
            <w:rFonts w:ascii="Cambria Math" w:hAnsi="Cambria Math" w:cs="Times New Roman"/>
            <w:sz w:val="24"/>
            <w:szCs w:val="24"/>
            <w:lang w:val="ru-RU"/>
          </w:rPr>
          <m:t>×</m:t>
        </m:r>
      </m:oMath>
      <w:r w:rsidR="00BD2893" w:rsidRPr="000E0324">
        <w:rPr>
          <w:rFonts w:ascii="Times New Roman" w:hAnsi="Times New Roman" w:cs="Times New Roman"/>
          <w:sz w:val="24"/>
          <w:szCs w:val="24"/>
          <w:lang w:val="ru-RU"/>
        </w:rPr>
        <w:t xml:space="preserve"> 100%, </w:t>
      </w:r>
      <w:r w:rsidRPr="000E0324">
        <w:rPr>
          <w:rFonts w:ascii="Times New Roman" w:eastAsia="Times New Roman" w:hAnsi="Times New Roman" w:cs="Times New Roman"/>
          <w:sz w:val="24"/>
          <w:szCs w:val="24"/>
          <w:lang w:val="ru-RU"/>
        </w:rPr>
        <w:t>и по относительной величине систематической погрешности;</w:t>
      </w:r>
    </w:p>
    <w:p w:rsidR="005661C0" w:rsidRPr="000E0324" w:rsidRDefault="00855820" w:rsidP="00BD2893">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position w:val="3"/>
          <w:sz w:val="24"/>
          <w:szCs w:val="24"/>
          <w:lang w:val="ru-RU"/>
        </w:rPr>
        <w:t>«прецизионность»</w:t>
      </w:r>
      <w:r w:rsidR="00903CB0" w:rsidRPr="000E0324">
        <w:rPr>
          <w:rFonts w:ascii="Times New Roman" w:eastAsia="Times New Roman" w:hAnsi="Times New Roman" w:cs="Times New Roman"/>
          <w:position w:val="3"/>
          <w:sz w:val="24"/>
          <w:szCs w:val="24"/>
          <w:lang w:val="ru-RU"/>
        </w:rPr>
        <w:t xml:space="preserve"> </w:t>
      </w:r>
      <w:r w:rsidRPr="000E0324">
        <w:rPr>
          <w:rFonts w:ascii="Times New Roman" w:eastAsia="Times New Roman" w:hAnsi="Times New Roman" w:cs="Times New Roman"/>
          <w:position w:val="3"/>
          <w:sz w:val="24"/>
          <w:szCs w:val="24"/>
          <w:lang w:val="ru-RU"/>
        </w:rPr>
        <w:t>(</w:t>
      </w:r>
      <w:r w:rsidRPr="000E0324">
        <w:rPr>
          <w:rFonts w:ascii="Times New Roman" w:eastAsia="Times New Roman" w:hAnsi="Times New Roman" w:cs="Times New Roman"/>
          <w:position w:val="3"/>
          <w:sz w:val="24"/>
          <w:szCs w:val="24"/>
        </w:rPr>
        <w:t>precision</w:t>
      </w:r>
      <w:r w:rsidRPr="000E0324">
        <w:rPr>
          <w:rFonts w:ascii="Times New Roman" w:eastAsia="Times New Roman" w:hAnsi="Times New Roman" w:cs="Times New Roman"/>
          <w:position w:val="3"/>
          <w:sz w:val="24"/>
          <w:szCs w:val="24"/>
          <w:lang w:val="ru-RU"/>
        </w:rPr>
        <w:t>)</w:t>
      </w:r>
      <w:r w:rsidR="00903CB0" w:rsidRPr="000E0324">
        <w:rPr>
          <w:rFonts w:ascii="Times New Roman" w:eastAsia="Times New Roman" w:hAnsi="Times New Roman" w:cs="Times New Roman"/>
          <w:position w:val="3"/>
          <w:sz w:val="24"/>
          <w:szCs w:val="24"/>
          <w:lang w:val="ru-RU"/>
        </w:rPr>
        <w:t xml:space="preserve"> </w:t>
      </w:r>
      <w:r w:rsidRPr="000E0324">
        <w:rPr>
          <w:rFonts w:ascii="Times New Roman" w:eastAsia="Times New Roman" w:hAnsi="Times New Roman" w:cs="Times New Roman"/>
          <w:position w:val="3"/>
          <w:sz w:val="24"/>
          <w:szCs w:val="24"/>
          <w:lang w:val="ru-RU"/>
        </w:rPr>
        <w:t>–</w:t>
      </w:r>
      <w:r w:rsidR="00903CB0" w:rsidRPr="000E0324">
        <w:rPr>
          <w:rFonts w:ascii="Times New Roman" w:eastAsia="Times New Roman" w:hAnsi="Times New Roman" w:cs="Times New Roman"/>
          <w:position w:val="3"/>
          <w:sz w:val="24"/>
          <w:szCs w:val="24"/>
          <w:lang w:val="ru-RU"/>
        </w:rPr>
        <w:t xml:space="preserve"> </w:t>
      </w:r>
      <w:r w:rsidRPr="000E0324">
        <w:rPr>
          <w:rFonts w:ascii="Times New Roman" w:eastAsia="Times New Roman" w:hAnsi="Times New Roman" w:cs="Times New Roman"/>
          <w:position w:val="3"/>
          <w:sz w:val="24"/>
          <w:szCs w:val="24"/>
          <w:lang w:val="ru-RU"/>
        </w:rPr>
        <w:t>степень</w:t>
      </w:r>
      <w:r w:rsidR="00903CB0" w:rsidRPr="000E0324">
        <w:rPr>
          <w:rFonts w:ascii="Times New Roman" w:eastAsia="Times New Roman" w:hAnsi="Times New Roman" w:cs="Times New Roman"/>
          <w:position w:val="3"/>
          <w:sz w:val="24"/>
          <w:szCs w:val="24"/>
          <w:lang w:val="ru-RU"/>
        </w:rPr>
        <w:t xml:space="preserve"> </w:t>
      </w:r>
      <w:r w:rsidRPr="000E0324">
        <w:rPr>
          <w:rFonts w:ascii="Times New Roman" w:eastAsia="Times New Roman" w:hAnsi="Times New Roman" w:cs="Times New Roman"/>
          <w:position w:val="3"/>
          <w:sz w:val="24"/>
          <w:szCs w:val="24"/>
          <w:lang w:val="ru-RU"/>
        </w:rPr>
        <w:t>разброса</w:t>
      </w:r>
      <w:r w:rsidR="00903CB0" w:rsidRPr="000E0324">
        <w:rPr>
          <w:rFonts w:ascii="Times New Roman" w:eastAsia="Times New Roman" w:hAnsi="Times New Roman" w:cs="Times New Roman"/>
          <w:position w:val="3"/>
          <w:sz w:val="24"/>
          <w:szCs w:val="24"/>
          <w:lang w:val="ru-RU"/>
        </w:rPr>
        <w:t xml:space="preserve"> </w:t>
      </w:r>
      <w:r w:rsidRPr="000E0324">
        <w:rPr>
          <w:rFonts w:ascii="Times New Roman" w:eastAsia="Times New Roman" w:hAnsi="Times New Roman" w:cs="Times New Roman"/>
          <w:position w:val="3"/>
          <w:sz w:val="24"/>
          <w:szCs w:val="24"/>
          <w:lang w:val="ru-RU"/>
        </w:rPr>
        <w:t>между</w:t>
      </w:r>
      <w:r w:rsidR="00903CB0" w:rsidRPr="000E0324">
        <w:rPr>
          <w:rFonts w:ascii="Times New Roman" w:eastAsia="Times New Roman" w:hAnsi="Times New Roman" w:cs="Times New Roman"/>
          <w:position w:val="3"/>
          <w:sz w:val="24"/>
          <w:szCs w:val="24"/>
          <w:lang w:val="ru-RU"/>
        </w:rPr>
        <w:t xml:space="preserve"> </w:t>
      </w:r>
      <w:r w:rsidRPr="000E0324">
        <w:rPr>
          <w:rFonts w:ascii="Times New Roman" w:eastAsia="Times New Roman" w:hAnsi="Times New Roman" w:cs="Times New Roman"/>
          <w:position w:val="3"/>
          <w:sz w:val="24"/>
          <w:szCs w:val="24"/>
          <w:lang w:val="ru-RU"/>
        </w:rPr>
        <w:t>сериями</w:t>
      </w:r>
      <w:r w:rsidR="00BD2893" w:rsidRPr="000E0324">
        <w:rPr>
          <w:rFonts w:ascii="Times New Roman" w:eastAsia="Times New Roman" w:hAnsi="Times New Roman" w:cs="Times New Roman"/>
          <w:position w:val="3"/>
          <w:sz w:val="24"/>
          <w:szCs w:val="24"/>
          <w:lang w:val="ru-RU"/>
        </w:rPr>
        <w:t xml:space="preserve"> </w:t>
      </w:r>
      <w:r w:rsidRPr="000E0324">
        <w:rPr>
          <w:rFonts w:ascii="Times New Roman" w:eastAsia="Times New Roman" w:hAnsi="Times New Roman" w:cs="Times New Roman"/>
          <w:sz w:val="24"/>
          <w:szCs w:val="24"/>
          <w:lang w:val="ru-RU"/>
        </w:rPr>
        <w:t>измерений, проведенных в заранее установленных условиях. Прецизионность характеризуется величиной относительного стандартного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отклонения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отклонения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 среднему, выражаемое в процентах);</w:t>
      </w:r>
    </w:p>
    <w:p w:rsidR="005661C0" w:rsidRPr="000E0324" w:rsidRDefault="00855820" w:rsidP="00903CB0">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«селективность» (</w:t>
      </w:r>
      <w:r w:rsidRPr="000E0324">
        <w:rPr>
          <w:rFonts w:ascii="Times New Roman" w:eastAsia="Times New Roman" w:hAnsi="Times New Roman" w:cs="Times New Roman"/>
          <w:sz w:val="24"/>
          <w:szCs w:val="24"/>
        </w:rPr>
        <w:t>selectivity</w:t>
      </w:r>
      <w:r w:rsidRPr="000E0324">
        <w:rPr>
          <w:rFonts w:ascii="Times New Roman" w:eastAsia="Times New Roman" w:hAnsi="Times New Roman" w:cs="Times New Roman"/>
          <w:sz w:val="24"/>
          <w:szCs w:val="24"/>
          <w:lang w:val="ru-RU"/>
        </w:rPr>
        <w:t xml:space="preserve">) – способность биоаналитической методики определять и различать исследуемое анализируемое вещество и внутренний стандарт в присутствии </w:t>
      </w:r>
      <w:r w:rsidRPr="000E0324">
        <w:rPr>
          <w:rFonts w:ascii="Times New Roman" w:eastAsia="Times New Roman" w:hAnsi="Times New Roman" w:cs="Times New Roman"/>
          <w:sz w:val="24"/>
          <w:szCs w:val="24"/>
          <w:lang w:val="ru-RU"/>
        </w:rPr>
        <w:lastRenderedPageBreak/>
        <w:t>компонентов, которые могут содержаться в образце;</w:t>
      </w:r>
    </w:p>
    <w:p w:rsidR="005661C0" w:rsidRPr="000E0324" w:rsidRDefault="00855820" w:rsidP="00903CB0">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«специфичность»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specificity</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биоаналитической 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однозначно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присутствии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(эндогенных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экзогенных)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биологическом образце;</w:t>
      </w:r>
    </w:p>
    <w:p w:rsidR="005661C0" w:rsidRPr="000E0324" w:rsidRDefault="00855820" w:rsidP="00903CB0">
      <w:pPr>
        <w:spacing w:before="5"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«стабильность» (</w:t>
      </w:r>
      <w:r w:rsidRPr="000E0324">
        <w:rPr>
          <w:rFonts w:ascii="Times New Roman" w:eastAsia="Times New Roman" w:hAnsi="Times New Roman" w:cs="Times New Roman"/>
          <w:sz w:val="24"/>
          <w:szCs w:val="24"/>
        </w:rPr>
        <w:t>stability</w:t>
      </w:r>
      <w:r w:rsidRPr="000E0324">
        <w:rPr>
          <w:rFonts w:ascii="Times New Roman" w:eastAsia="Times New Roman" w:hAnsi="Times New Roman" w:cs="Times New Roman"/>
          <w:sz w:val="24"/>
          <w:szCs w:val="24"/>
          <w:lang w:val="ru-RU"/>
        </w:rPr>
        <w:t>) – химическая стабильность 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определенных условиях в течение определенного периода;</w:t>
      </w:r>
    </w:p>
    <w:p w:rsidR="005661C0" w:rsidRPr="000E0324" w:rsidRDefault="00855820" w:rsidP="00903CB0">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«стандартная операционная процедура» (</w:t>
      </w:r>
      <w:r w:rsidRPr="000E0324">
        <w:rPr>
          <w:rFonts w:ascii="Times New Roman" w:eastAsia="Times New Roman" w:hAnsi="Times New Roman" w:cs="Times New Roman"/>
          <w:sz w:val="24"/>
          <w:szCs w:val="24"/>
        </w:rPr>
        <w:t>Standard</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Operating</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Procedure</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содержится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регулярно осуществляемых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операций,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значимых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позволяющий проводить их правильно и единообразно;</w:t>
      </w:r>
    </w:p>
    <w:p w:rsidR="005661C0" w:rsidRPr="000E0324" w:rsidRDefault="00855820" w:rsidP="00903CB0">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«функция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response</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function</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функция,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которая надлежащим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описывает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зависимость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сигнала (например,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площади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пиков)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(содержания) анализируемого вещества в образце. Функция отклика определяется для аналитического диапазона;</w:t>
      </w:r>
    </w:p>
    <w:p w:rsidR="005661C0" w:rsidRPr="000E0324" w:rsidRDefault="00855820" w:rsidP="00903CB0">
      <w:pPr>
        <w:spacing w:before="21"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«частичная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partial</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validation</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аналитических экспериментов,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модификации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валидированной биоаналитической методики часть параметров подвергаются валидации;</w:t>
      </w:r>
    </w:p>
    <w:p w:rsidR="005661C0" w:rsidRPr="000E0324" w:rsidRDefault="00855820" w:rsidP="00903CB0">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«эффект матрицы» (</w:t>
      </w:r>
      <w:r w:rsidRPr="000E0324">
        <w:rPr>
          <w:rFonts w:ascii="Times New Roman" w:eastAsia="Times New Roman" w:hAnsi="Times New Roman" w:cs="Times New Roman"/>
          <w:sz w:val="24"/>
          <w:szCs w:val="24"/>
        </w:rPr>
        <w:t>matrix</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effect</w:t>
      </w:r>
      <w:r w:rsidRPr="000E0324">
        <w:rPr>
          <w:rFonts w:ascii="Times New Roman" w:eastAsia="Times New Roman" w:hAnsi="Times New Roman" w:cs="Times New Roman"/>
          <w:sz w:val="24"/>
          <w:szCs w:val="24"/>
          <w:lang w:val="ru-RU"/>
        </w:rPr>
        <w:t>) – прямое или непрямое влияние или воздействие на результаты анализа, обусловленные наличием в биологическом образце непредусмотренных анализом анализируемых веществ или иных влияющих на него веществ;</w:t>
      </w:r>
    </w:p>
    <w:p w:rsidR="005661C0" w:rsidRPr="000E0324" w:rsidRDefault="00855820" w:rsidP="00903CB0">
      <w:pPr>
        <w:spacing w:before="5" w:after="0" w:line="360"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«эффект переноса» (</w:t>
      </w:r>
      <w:r w:rsidRPr="000E0324">
        <w:rPr>
          <w:rFonts w:ascii="Times New Roman" w:eastAsia="Times New Roman" w:hAnsi="Times New Roman" w:cs="Times New Roman"/>
          <w:sz w:val="24"/>
          <w:szCs w:val="24"/>
        </w:rPr>
        <w:t>carry</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over</w:t>
      </w:r>
      <w:r w:rsidRPr="000E0324">
        <w:rPr>
          <w:rFonts w:ascii="Times New Roman" w:eastAsia="Times New Roman" w:hAnsi="Times New Roman" w:cs="Times New Roman"/>
          <w:sz w:val="24"/>
          <w:szCs w:val="24"/>
          <w:lang w:val="ru-RU"/>
        </w:rPr>
        <w:t>) – появление сигнала анализируемого вещества в холостом образце после проведения анализа образца с высокой концентрацией анализируемого вещества;</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«якорные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калибраторы»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anchor</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calibrators</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точки вне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целью подбора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нелинейной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регрессии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методах связывания лиганда.</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Измерение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биологических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сыворотке,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плазме,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крови,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моче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слюне)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важный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аспект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разработки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Поэтому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надежных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используемые биоаналитические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хорошо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описанными, полностью валидированными и документированными.</w:t>
      </w:r>
    </w:p>
    <w:p w:rsidR="005661C0" w:rsidRPr="000E0324" w:rsidRDefault="00855820" w:rsidP="00903CB0">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особых ситуациях допускается использовать более широкие, чем описанные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Требованиях,</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критерии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 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основываясь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предполагаемом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 следует установить предварительно.</w:t>
      </w:r>
    </w:p>
    <w:p w:rsidR="005661C0" w:rsidRPr="000E0324" w:rsidRDefault="00855820" w:rsidP="00903CB0">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Методы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 биомаркеров, используемых в качестве фармакодинамических маркеров, в настоящих Требованиях не рассматриваются.</w:t>
      </w:r>
    </w:p>
    <w:p w:rsidR="005661C0" w:rsidRPr="000E0324" w:rsidRDefault="005661C0" w:rsidP="00903CB0">
      <w:pPr>
        <w:spacing w:before="6" w:after="0" w:line="220" w:lineRule="exact"/>
        <w:rPr>
          <w:rFonts w:ascii="Times New Roman" w:hAnsi="Times New Roman" w:cs="Times New Roman"/>
          <w:sz w:val="24"/>
          <w:szCs w:val="24"/>
          <w:lang w:val="ru-RU"/>
        </w:rPr>
      </w:pPr>
    </w:p>
    <w:p w:rsidR="00BD36AD" w:rsidRDefault="00BD36AD" w:rsidP="00903CB0">
      <w:pPr>
        <w:spacing w:before="21" w:after="0" w:line="240" w:lineRule="auto"/>
        <w:ind w:left="1269" w:right="1257"/>
        <w:jc w:val="center"/>
        <w:rPr>
          <w:rFonts w:ascii="Times New Roman" w:eastAsia="Times New Roman" w:hAnsi="Times New Roman" w:cs="Times New Roman"/>
          <w:sz w:val="24"/>
          <w:szCs w:val="24"/>
        </w:rPr>
      </w:pPr>
    </w:p>
    <w:p w:rsidR="00BD36AD" w:rsidRDefault="00BD36AD" w:rsidP="00903CB0">
      <w:pPr>
        <w:spacing w:before="21" w:after="0" w:line="240" w:lineRule="auto"/>
        <w:ind w:left="1269" w:right="1257"/>
        <w:jc w:val="center"/>
        <w:rPr>
          <w:rFonts w:ascii="Times New Roman" w:eastAsia="Times New Roman" w:hAnsi="Times New Roman" w:cs="Times New Roman"/>
          <w:sz w:val="24"/>
          <w:szCs w:val="24"/>
        </w:rPr>
      </w:pPr>
    </w:p>
    <w:p w:rsidR="005661C0" w:rsidRPr="000E0324" w:rsidRDefault="00855820" w:rsidP="00903CB0">
      <w:pPr>
        <w:spacing w:before="21" w:after="0" w:line="240" w:lineRule="auto"/>
        <w:ind w:left="1269" w:right="1257"/>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lastRenderedPageBreak/>
        <w:t>II</w:t>
      </w:r>
      <w:r w:rsidRPr="000E0324">
        <w:rPr>
          <w:rFonts w:ascii="Times New Roman" w:eastAsia="Times New Roman" w:hAnsi="Times New Roman" w:cs="Times New Roman"/>
          <w:sz w:val="24"/>
          <w:szCs w:val="24"/>
          <w:lang w:val="ru-RU"/>
        </w:rPr>
        <w:t>. Валидация биоаналитической методики испытаний</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163" w:right="115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Требования, предъявляемые к стандартным образцам</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приготовления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контроля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 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 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холостому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образцу (биологическому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содержащему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используя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добавляют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исследуемые анализируемые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дополнение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пробоподготовке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хроматографических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добавлять соответствующий внутренний стандарт (ВС).</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удостовериться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пригодности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стандартного образца и ВС, поскольку их качество (чистота) может повлиять на результаты анализа и на результаты исследования. Поэтому стандартные образцы, используемые для валидации и анализа испытуемых образцов, должны быть получены из надежных и проверенных источников. К таким стандартным образцам относятся сертифицированные стандартные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фармакопейные,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коммерческие стандартные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аттестованные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 приготовленные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самостоятельно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внешней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некоммерческой организацией. Для подтверждения чистоты и представления сведений об условиях хранения, сроке годности, номере серии стандартного образца необходим сертификат его анализа.</w:t>
      </w:r>
    </w:p>
    <w:p w:rsidR="005661C0" w:rsidRPr="000E0324" w:rsidRDefault="00855820" w:rsidP="00903CB0">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Если пригодность ВС подтверждена, например, отсутствием влияния анализируемого вещества и его примесей, то использование сертифицированных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 (в сертификатах анализа нет необходимости).</w:t>
      </w:r>
    </w:p>
    <w:p w:rsidR="005661C0" w:rsidRPr="000E0324" w:rsidRDefault="00855820" w:rsidP="00903CB0">
      <w:pPr>
        <w:spacing w:before="21" w:after="0" w:line="360"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масс- спектрометрии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Arial" w:hAnsi="Times New Roman" w:cs="Times New Roman"/>
          <w:sz w:val="24"/>
          <w:szCs w:val="24"/>
          <w:lang w:val="ru-RU"/>
        </w:rPr>
        <w:t>–</w:t>
      </w:r>
      <w:r w:rsidRPr="000E0324">
        <w:rPr>
          <w:rFonts w:ascii="Times New Roman" w:eastAsia="Arial" w:hAnsi="Times New Roman" w:cs="Times New Roman"/>
          <w:spacing w:val="83"/>
          <w:sz w:val="24"/>
          <w:szCs w:val="24"/>
          <w:lang w:val="ru-RU"/>
        </w:rPr>
        <w:t xml:space="preserve"> </w:t>
      </w:r>
      <w:r w:rsidRPr="000E0324">
        <w:rPr>
          <w:rFonts w:ascii="Times New Roman" w:eastAsia="Times New Roman" w:hAnsi="Times New Roman" w:cs="Times New Roman"/>
          <w:sz w:val="24"/>
          <w:szCs w:val="24"/>
          <w:lang w:val="ru-RU"/>
        </w:rPr>
        <w:t>МС)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 стабильные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меченные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изотопом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 меченый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обладал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изотопной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чистотой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происходили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изотопного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обмена.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 проверку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наличие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незаявленных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обнаружении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последних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 валидацию биоаналитической методики.</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597"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Полная валидация биоаналитической методики</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 Любая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независимо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новая она или известная, подлежит полной валидации.</w:t>
      </w:r>
    </w:p>
    <w:p w:rsidR="005661C0" w:rsidRPr="000E0324" w:rsidRDefault="00855820" w:rsidP="00903CB0">
      <w:pPr>
        <w:spacing w:before="6"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Основной целью валидации биоаналитической методики является подтверждение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надежности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 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кровь, сыворотка, плазма, моча и слюна. Более того, если при пробоподготовке использовался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антикоагулянт,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каждого вида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животных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разновидности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жидкостей, использованных в исследовании.</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 затруднительно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разновидность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биологической жидкости,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использовалась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достаточном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альтернативные биологические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модельную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спинномозговую жидкость).</w:t>
      </w:r>
    </w:p>
    <w:p w:rsidR="005661C0" w:rsidRPr="000E0324" w:rsidRDefault="00855820" w:rsidP="00BD2893">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 Основными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характеристиками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 необходимыми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надежности</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аналитических результатов, являются селективность, нижний предел количественного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функция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аналитический 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(воспроизводимость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 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матрицы (полнота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элюирования)),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биологических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рабочих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извлечениях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течение всего периода хранения и пробоподготовки.</w:t>
      </w:r>
    </w:p>
    <w:p w:rsidR="005661C0" w:rsidRPr="000E0324" w:rsidRDefault="00855820" w:rsidP="00903CB0">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 Изучению,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подлежит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анализируемое 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случаях определяют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нескольких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 могут быть как два разных вещества, так и исходное соединение с его метаболитами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энантиомеры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(изомеры)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таких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принципы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справедливы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 исследуемых анализируемых веществ.</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614"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Селективность (избирательность)</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BD2893">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 Биоаналитическая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обладать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способностью дифференцировать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эндогенных компонентов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компонентов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Селективность биоаналитической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менее 6 различных источников соответствующих холостых образцов, не содержащих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экспериментальным подтверждением). В отношении редких разновидностей биологических 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допустимо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меньшее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источников. Отсутствие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искажающего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компонентов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холостого биологического образца, констатируется, как правило, если их сигнал по</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нижнему пределу количественного определения не превышает 20 % для анализируемого вещества и 5 % – для ВС.</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понадобиться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степени влияния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продуктов деградации,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образующихся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одновременно применяемых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этапе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 биоаналитической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этапе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конкретного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 внимание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применявшиеся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исследуемой популяцией как сопутствующие.</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12.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нестабильных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 кислых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эфире,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нестабильных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N</w:t>
      </w:r>
      <w:r w:rsidRPr="000E0324">
        <w:rPr>
          <w:rFonts w:ascii="Times New Roman" w:eastAsia="Times New Roman" w:hAnsi="Times New Roman" w:cs="Times New Roman"/>
          <w:sz w:val="24"/>
          <w:szCs w:val="24"/>
          <w:lang w:val="ru-RU"/>
        </w:rPr>
        <w:t>-оксидов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глюкуронидов,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лактонной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структурой),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необходимо оценить возможность обратного преобразования метаболита в исходное </w:t>
      </w:r>
      <w:r w:rsidRPr="000E0324">
        <w:rPr>
          <w:rFonts w:ascii="Times New Roman" w:eastAsia="Times New Roman" w:hAnsi="Times New Roman" w:cs="Times New Roman"/>
          <w:sz w:val="24"/>
          <w:szCs w:val="24"/>
          <w:lang w:val="ru-RU"/>
        </w:rPr>
        <w:lastRenderedPageBreak/>
        <w:t>анализируемое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этапах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(включая процедуры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извлечении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МС-анализа).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преобразования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проанализировать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ранних этапах разработки нового химического соединения, пока его метаболизм еще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невозможно.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 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процессе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разработки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новых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метаболизме 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учитывать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проблему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обратного преобразования, что требует проведения частичной валидации.</w:t>
      </w:r>
    </w:p>
    <w:p w:rsidR="005661C0" w:rsidRPr="000E0324" w:rsidRDefault="00855820" w:rsidP="00BD2893">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доступ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 стандартным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стороны, обратное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преобразование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метаболита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проводя повторный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содержащих анализируемые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взятых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животных).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нельзя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обратное преобразование в процессе пробоподготовки.</w:t>
      </w:r>
    </w:p>
    <w:p w:rsidR="005661C0" w:rsidRPr="000E0324" w:rsidRDefault="005661C0" w:rsidP="00903CB0">
      <w:pPr>
        <w:spacing w:before="4"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966" w:right="2957"/>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Влияние (эффект) переноса</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13. При разработке методики необходимо принимать во внимание и минимизировать перенос анализируемого вещества от пробы к пробе. В процессе валидации необходимо оценить эффект переноса, вводя холостые образцы после образцов с высокой концентрацией или 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 определения. Перенос в холостой образец после стандартного раствора с высокой концентрацией не должен превышать 20 % величины нижнего предела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подразделе «Нижний предел количественного определения» настоящего 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очевидно,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перенос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неизбежен, исследуемые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рандомизируют.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перенос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повлиял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ходе валидации предусмотреть специальные меры (например, после образцов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ожидаемой высокой концентрацией и до начала анализа очередного испытуемого образца вводить холостые образцы).</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765" w:right="175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Нижний предел количественного определения</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BD2893">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14. Нижний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есть наименьшая концентрация анализируемого вещества в образце, которая поддается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надежному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приемлемой правильностью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считается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наименьшим градуировочным стандартным образцом (как это указано в подразделах</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«Прецизионность»</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настоящего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 сигнал 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 с 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менее</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превосходить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величину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сигнала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холостого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адаптировать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ожидаемым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цели исследования (например, в исследовании биоэквивалентности НПКО не 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выше,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(минимальной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величины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из всей выборки субъектов)).</w:t>
      </w:r>
    </w:p>
    <w:p w:rsidR="005661C0" w:rsidRPr="000E0324" w:rsidRDefault="005661C0" w:rsidP="00903CB0">
      <w:pPr>
        <w:spacing w:before="10"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396"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Градуировочная кривая (линейность)</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15. Необходимо оценить функцию отклика градуировочной кривой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изучению подлежит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Градуировочные стандартные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готовят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путем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добавления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известными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холостой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использованием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разновидности,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будет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изучаемому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аналитическому циклу должна соответствовать отдельная градуировочная кривая.</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идеале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начала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биоаналитической 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ожидаемый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концентраций. Этот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перекрываться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областью применяемой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задаваемой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наименьшего градуировочного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 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наибольшего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стандарта. 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задать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надлежащего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описания фармакокинетики изучаемого анализируемого вещества.</w:t>
      </w:r>
    </w:p>
    <w:p w:rsidR="005661C0" w:rsidRPr="000E0324" w:rsidRDefault="00855820" w:rsidP="00BD2893">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16. Помимо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холостого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(подвергнутого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обработке биологического образца, не содержащего анализируемого вещества или ВС) и нулевых образцов (подвергнутых обработке биологических 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градуировочный стандарт допускается анализировать повторно.</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17.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зависимость,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просто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надежно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позволяет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функцию</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отклика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сигнала 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вычислении 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холостые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нулевые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учитывают.</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18.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градуировочной кривой (для линейной регрессии – угол наклона и свободный член (при необходимости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последнего)).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дополнение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наряду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рассчитанными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экспериментально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 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 имеющиеся или приемлемые кривые (но не менее 3), полученные в ходе валидации.</w:t>
      </w:r>
    </w:p>
    <w:p w:rsidR="005661C0" w:rsidRPr="000E0324" w:rsidRDefault="00855820" w:rsidP="00BD2893">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19. Экспериментально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 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лежать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15 %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 номинальных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 значения могут находиться в пределах ± 20 %). Этому критерию должны соответствовать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75 %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 чем 6 различных концентрациях. Если используются повторности, этим критериям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15 %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20 %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 соответствовать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каждой 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градуировочный стандарт не соответствует этим критериям, его необходимо исключить, а градуировочную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пересчитать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учета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том числе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регрессионный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 повторности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были</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забракованы, то валидацию соответствующей серии градуировочных 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проводят.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причины забраковки, а методику при необходимости доработать. Если валидация следующей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проходит,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начала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 необходимо пересмотреть методику.</w:t>
      </w:r>
    </w:p>
    <w:p w:rsidR="005661C0" w:rsidRPr="000E0324" w:rsidRDefault="00855820" w:rsidP="00903CB0">
      <w:pPr>
        <w:spacing w:before="4" w:after="0" w:line="360"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20. Несмотря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желательно строить с использованием свежеприготовленных образцов, при наличии надлежащих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ранее приготовленные и подвергшиеся хранению градуировочные образцы.</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832" w:right="3822"/>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Правильность</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21. 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выражает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близость полученных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помощью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номинальным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концентрациям 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выражается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процентах). Правильность необходимо оценивать по образцам для контроля качества (КК)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добавлено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известное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количество 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готовят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независимо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 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предварительно приготовленные исходные растворы.</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22. 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 экспериментальные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сравнивают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номинальными.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выражают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процента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 номинальных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концентрациям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получаемым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 (правильность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(правильность между циклами).</w:t>
      </w:r>
    </w:p>
    <w:p w:rsidR="005661C0" w:rsidRPr="000E0324" w:rsidRDefault="00855820" w:rsidP="00BD2893">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 целью оценки любых временных тенденций внутри 1 цикла целесообразно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 для КК не менее чем в 1 цикле, соответствующем по величине планируемому аналитическому циклу для испытуемых образцов.</w:t>
      </w:r>
    </w:p>
    <w:p w:rsidR="005661C0" w:rsidRPr="000E0324" w:rsidRDefault="005661C0" w:rsidP="00903CB0">
      <w:pPr>
        <w:spacing w:before="4"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906" w:right="2895"/>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Правильность внутри цикла</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BD2893">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23. Правильность внутри цикла определяют путем анализа внутри</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 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входящих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 Рекомендуемые концентрации:</w:t>
      </w:r>
    </w:p>
    <w:p w:rsidR="005661C0" w:rsidRPr="000E0324" w:rsidRDefault="00855820" w:rsidP="00BD36AD">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НПКО;</w:t>
      </w:r>
    </w:p>
    <w:p w:rsidR="005661C0" w:rsidRPr="000E0324" w:rsidRDefault="00855820" w:rsidP="00BD36AD">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тройная величина НПКО (нижний уровень);</w:t>
      </w:r>
    </w:p>
    <w:p w:rsidR="005661C0" w:rsidRPr="000E0324" w:rsidRDefault="00855820" w:rsidP="00BD36AD">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около 30 – 50 % от верхней границы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определяемых концентраций</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(средний уровень);</w:t>
      </w:r>
    </w:p>
    <w:p w:rsidR="005661C0" w:rsidRPr="000E0324" w:rsidRDefault="00855820" w:rsidP="00BD36AD">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75 %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(верхний уровень).</w:t>
      </w:r>
    </w:p>
    <w:p w:rsidR="005661C0" w:rsidRPr="000E0324" w:rsidRDefault="00855820" w:rsidP="00BD36AD">
      <w:pPr>
        <w:spacing w:before="5"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Среднее значение рассчитанных концентраций должно находиться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15 %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номинальных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 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расширить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20 %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 номинальных значений.</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761" w:right="275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Правильность между циклами</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24.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оценить НПКО, нижний, средний и верхний уровни образцов для КК из не менее чем из 3 проанализированных циклов, проведенных в течение 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рассчитанных 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15 %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номинальных значений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 расширить до ± 20 % от номинальных значений.</w:t>
      </w:r>
    </w:p>
    <w:p w:rsidR="005661C0" w:rsidRPr="000E0324" w:rsidRDefault="00855820" w:rsidP="00903CB0">
      <w:pPr>
        <w:spacing w:before="21"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25. В отчет о валидации методики при определении правильности 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 за исключением документированных промахов.</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671" w:right="365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Прецизионность</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26. Прецизионность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степень близости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отдельными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измерениями, выражающаяся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относительного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отклонения (коэффициента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подтвердить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 образцов для КК как внутри 1 цикла, так и между разными циклами, то есть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подтверждении правильности.</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754" w:right="274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Прецизионность внутри цикла</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27.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использовать не менее 5 образцов одной концентрации для НПКО, нижнего,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 внутри одного цикла. Относительное стандартное отклонение внутри 1 цикла не должно превышать 15 % для образцов для КК, для НПКО оно не должно превышать 20 %.</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610" w:right="259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Прецизионность между циклами</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28.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определить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 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проанализированных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циклов, проведенных в течение не менее чем 2 различных дней. Относительное стандартное отклонение между циклами не должно превышать 15 % для образцов для КК, для НПКО оно не должно превышать 20 %.</w:t>
      </w:r>
    </w:p>
    <w:p w:rsidR="005661C0" w:rsidRPr="000E0324" w:rsidRDefault="005661C0" w:rsidP="00903CB0">
      <w:pPr>
        <w:spacing w:before="6" w:after="0" w:line="220" w:lineRule="exact"/>
        <w:rPr>
          <w:rFonts w:ascii="Times New Roman" w:hAnsi="Times New Roman" w:cs="Times New Roman"/>
          <w:sz w:val="24"/>
          <w:szCs w:val="24"/>
          <w:lang w:val="ru-RU"/>
        </w:rPr>
      </w:pPr>
    </w:p>
    <w:p w:rsidR="005661C0" w:rsidRPr="000E0324" w:rsidRDefault="00855820" w:rsidP="00903CB0">
      <w:pPr>
        <w:spacing w:before="21" w:after="0" w:line="240" w:lineRule="auto"/>
        <w:ind w:left="2006" w:right="199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Отсутствие влияния разбавления образцов</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29. Степень разбавления образцов не должна влиять на параметры правильности и прецизионности методики. По возможности валидацию разбавления образцов необходимо </w:t>
      </w:r>
      <w:r w:rsidRPr="000E0324">
        <w:rPr>
          <w:rFonts w:ascii="Times New Roman" w:eastAsia="Times New Roman" w:hAnsi="Times New Roman" w:cs="Times New Roman"/>
          <w:sz w:val="24"/>
          <w:szCs w:val="24"/>
          <w:lang w:val="ru-RU"/>
        </w:rPr>
        <w:lastRenderedPageBreak/>
        <w:t>проводить путем добавления к матрице анализируемого вещества в концентрации выше верхней границы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полученного 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холостой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каждое разбавление).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установленных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критериев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15 %). 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себя разбавление, применяемое к испытуемым образцам.</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30. Оценку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 частичной валидации. Допускается использовать иную матрицу, если показано, что она не влияет на прецизионность и правильность.</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642" w:right="3630"/>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Эффект матрицы</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31.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МС-методик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 матрицы,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холостых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разных субъектов (источников).</w:t>
      </w:r>
    </w:p>
    <w:p w:rsidR="005661C0" w:rsidRPr="000E0324" w:rsidRDefault="00855820" w:rsidP="00BD2893">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32. Путем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вычисления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максимальной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площади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пика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присутствии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путем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подготовленного холостого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добавленной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известной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концентрацией анализируемого вещества) к максимальной площади пика в отсутствие матрицы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(чистый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 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анализируемых 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(ЭМ).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нормализованный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 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Относительное</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стандартное отклонение нормализованного ЭМ по ВС, рассчитанное для</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Измерения осуществляют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 для КК.</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неприменимости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подхода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пробоподготовке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режиме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времени)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оценить вариабельность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откликов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путем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 серий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добавлено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 нижнем и верхнем уровнях концентрации образцов для КК. В отчете о 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площади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пиков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 Относительное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отклонение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 превышать 15 %.</w:t>
      </w:r>
    </w:p>
    <w:p w:rsidR="005661C0" w:rsidRPr="000E0324" w:rsidRDefault="00855820" w:rsidP="00903CB0">
      <w:pPr>
        <w:spacing w:before="7" w:after="0" w:line="359"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33. Если матрица малодоступна, допускается использовать менее 6 различных серий матриц, однако такой подход необходимо обосновать. В этом случае также необходимо оценить эффект матрицы.</w:t>
      </w:r>
    </w:p>
    <w:p w:rsidR="005661C0" w:rsidRPr="000E0324" w:rsidRDefault="00855820" w:rsidP="00BD2893">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34.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предназначенный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парентерального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животным, содержит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вызвать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 матрицы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полиэтиленгликоль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полисорбат)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 матрицы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дополнение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холостой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матрице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оценивают,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используя матрицу,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содержащую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вспомогательные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доказано,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подвергаются метаболизму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биотрансформации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in</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vivo</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матрицу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 получают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животных,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вводили эти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вспомогательных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 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путем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вычисления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посредством разведения испытуемого образца с высокой концентрацией в холостой матрице, не содержащей вспомогательные вещества.</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35. В дополнение к стандартным биологическим образцам эффект матрицы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оценивать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«нестандартных»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образцах (например,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гиперлипидемической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плазмы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плазмы, полученной из крови, подвергшейся гемолизу). Если анализу подлежат 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особых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групп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пациентов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почечной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печеночной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недостаточностью),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рекомендуется оценить, используя биологические образцы от таких пациентов.</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844" w:right="3834"/>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Стабильность</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36. 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удостовериться,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этап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последующего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повлияли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постоянство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сохранения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 вещества, проводят исследование стабильности.</w:t>
      </w:r>
    </w:p>
    <w:p w:rsidR="005661C0" w:rsidRPr="000E0324" w:rsidRDefault="00855820" w:rsidP="00903CB0">
      <w:pPr>
        <w:spacing w:before="7"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37. 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этапа аналитической методики, то есть получить доказательства того, что условия, для которых проведены исследования стабильности (например, вид биологического образца, наличие антикоагулянта, материал контейнера (упаковки), хранение и условия анализа) аналогичны реальным условиям анализа испытуемых образцов. Ссылка на литературные источники не является достаточным условием.</w:t>
      </w:r>
    </w:p>
    <w:p w:rsidR="005661C0" w:rsidRPr="000E0324" w:rsidRDefault="00855820" w:rsidP="00BD2893">
      <w:pPr>
        <w:spacing w:before="7"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38. Стабильность анализируемого вещества в исследуемом образце оценивают,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уровня 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сразу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 пробоподготовки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проводится работа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 анализируют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рассчитанной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свежеприготовленным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Полученные 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сравнивают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номинальными.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каждой из концентраций (для средних значений) должна находиться в пределах</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15 % от номинального значения.</w:t>
      </w:r>
    </w:p>
    <w:p w:rsidR="005661C0" w:rsidRPr="000E0324" w:rsidRDefault="00855820" w:rsidP="00BD36AD">
      <w:pPr>
        <w:spacing w:before="7"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39.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учитывая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линейный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 определения детектора, испытать стабильность исходных и рабочих растворов после соответствующих разведений.</w:t>
      </w:r>
    </w:p>
    <w:p w:rsidR="005661C0" w:rsidRPr="000E0324" w:rsidRDefault="00855820" w:rsidP="00BD36AD">
      <w:pPr>
        <w:spacing w:before="7"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40.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подход</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«наихудшего случая»), по срокам равным или превышающим сроки хранения фактических анализируемых исследуемых образов.</w:t>
      </w:r>
    </w:p>
    <w:p w:rsidR="005661C0" w:rsidRPr="000E0324" w:rsidRDefault="00855820" w:rsidP="00BD36AD">
      <w:pPr>
        <w:spacing w:before="7"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41. Необходимо провести следующие испытания стабильности:</w:t>
      </w:r>
    </w:p>
    <w:p w:rsidR="005661C0" w:rsidRPr="000E0324" w:rsidRDefault="00855820" w:rsidP="00BD36AD">
      <w:pPr>
        <w:spacing w:before="7"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стабильность исходных и рабочих растворов анализируемого вещества и ВС;</w:t>
      </w:r>
    </w:p>
    <w:p w:rsidR="005661C0" w:rsidRPr="000E0324" w:rsidRDefault="00855820" w:rsidP="00BD36AD">
      <w:pPr>
        <w:spacing w:before="7"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б) стабильность замороженного и размороженного биологического образца, </w:t>
      </w:r>
      <w:r w:rsidRPr="000E0324">
        <w:rPr>
          <w:rFonts w:ascii="Times New Roman" w:eastAsia="Times New Roman" w:hAnsi="Times New Roman" w:cs="Times New Roman"/>
          <w:sz w:val="24"/>
          <w:szCs w:val="24"/>
          <w:lang w:val="ru-RU"/>
        </w:rPr>
        <w:lastRenderedPageBreak/>
        <w:t>содержащего анализируемое вещество (перемещенного из условий заморозки в комнатную температуру или температуру условий пробоподготовки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«замораживания – размораживания»);</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краткосрочная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биологическом образце при комнатной температуре или температуре условий пробоподготовки;</w:t>
      </w:r>
    </w:p>
    <w:p w:rsidR="005661C0" w:rsidRPr="000E0324" w:rsidRDefault="00855820" w:rsidP="00903CB0">
      <w:pPr>
        <w:spacing w:before="7" w:after="0" w:line="359" w:lineRule="auto"/>
        <w:ind w:left="102" w:right="4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естественное хранение биологического образца, содержащего анализируемое вещество (в замороженном виде).</w:t>
      </w:r>
    </w:p>
    <w:p w:rsidR="005661C0" w:rsidRPr="000E0324" w:rsidRDefault="00855820" w:rsidP="00903CB0">
      <w:pPr>
        <w:spacing w:before="8" w:after="0" w:line="359" w:lineRule="auto"/>
        <w:ind w:left="102" w:right="43"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42. Кроме того необходимо провести следующие испытания (если применимо):</w:t>
      </w:r>
    </w:p>
    <w:p w:rsidR="005661C0" w:rsidRPr="000E0324" w:rsidRDefault="00855820" w:rsidP="00903CB0">
      <w:pPr>
        <w:spacing w:before="21"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стабильность образца после пробоподготовки при комнатной температуре или в условиях хранения, которые будут использоваться во время анализа;</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подвергшихся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устройстве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автоматического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температуре инжектора или автодозатора.</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43. Изучение стабильности при замораживании и размораживании. Образцы для КК хранят замороженными в морозильной камере при предусмотренной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размораживают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комнатной температуре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полного размораживания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заново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замораживают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каждом цикле образцы должны находиться в замороженном состоянии в 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меньшей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изучения стабильности «замораживания – размораживания» должно быть равным или превышать количество таких циклов для испытуемых образцов.</w:t>
      </w:r>
    </w:p>
    <w:p w:rsidR="005661C0" w:rsidRPr="000E0324" w:rsidRDefault="00855820" w:rsidP="00BD2893">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44. Изучение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естественного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замороженного биологического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 Образцы для КК необходимо заморозить в тех же условиях и хранить в таких условиях столько же, сколько и испытуемые образцы, или дольше.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низкомолекулярных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органических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соединений допускается использовать подход, основанный на исследовании крайних вариантов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брекетинга),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стабильность подтверждена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минус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70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минус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20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исследовать 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попадающих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требуется.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крупных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молекул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пептидов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белков)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будет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осуществляться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дополнение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испытуемые</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только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 недостаточным, поскольку номинальные концентрации анализируемого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неизвестны.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естественных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 составления отчета.</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45. Изучение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рабочих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 Подтверждать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рабочих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каждой концентрации не требуется, допускается ограничиться подтверждением стабильности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крайних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брекетинга).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Подтверждать 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внутренних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стабильными изотопами,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происходит реакций изотопного обмена.</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46.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несколькими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анализируемыми веществами, включая отдельные исследования биоэквивалентности,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содержащем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анализируемые вещества.</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47. В целях подтверждения того, что определяемые аналитической методикой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отражают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 истинное содержание в биологических образцах субъекта исследования в момент их отбора, необходимо изучить стабильность анализируемого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сразу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отбора 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последующей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вплоть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 помещения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подтверждения такой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рассматривать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порядке, ориентируясь на химическую структуру анализируемого вещества.</w:t>
      </w:r>
    </w:p>
    <w:p w:rsidR="005661C0" w:rsidRPr="000E0324" w:rsidRDefault="005661C0" w:rsidP="00903CB0">
      <w:pPr>
        <w:spacing w:before="6" w:after="0" w:line="220" w:lineRule="exact"/>
        <w:rPr>
          <w:rFonts w:ascii="Times New Roman" w:hAnsi="Times New Roman" w:cs="Times New Roman"/>
          <w:sz w:val="24"/>
          <w:szCs w:val="24"/>
          <w:lang w:val="ru-RU"/>
        </w:rPr>
      </w:pPr>
    </w:p>
    <w:p w:rsidR="005661C0" w:rsidRPr="000E0324" w:rsidRDefault="00855820" w:rsidP="00903CB0">
      <w:pPr>
        <w:spacing w:before="21" w:after="0" w:line="240" w:lineRule="auto"/>
        <w:ind w:left="3215" w:right="320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Частичная валидация</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48.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незначительных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валидированной аналитической методики (в зависимости от характера таких изменений)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необходимости. К изменениям, в отношении которых допускается проведение частичной 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относятся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трансфер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другую лабораторию,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замена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оборудования,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 ограниченный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объем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изменение разновидности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животного,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замена антикоагулянта,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процедуры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условий хранения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отразить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произошедшие изменения и обосновать объем повторной или частичной валидации.</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Объем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частичной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предполагать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объем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работ начиная с минимального объема, заключающегося только в выполнении 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заканчивая проведением полной валидации.</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999" w:right="299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Перекрестная валидация</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BD2893">
      <w:pPr>
        <w:spacing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49.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помощью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группы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лабораториях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перекрестную валидацию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 многоцентрового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использование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 различным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перекрестную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валидацию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 перекрестной валидации необходимо провести анализ образцов для КК</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помощью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использованных аналитических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помощью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различных методов (методик) средние значения правильности для образцов для КК 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15 %,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достаточном обосновании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большую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величину. Погрешность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двумя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 укладываться в диапазон 20 % от их среднего значения не менее чем для</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67 % повторностей.</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2584" w:right="2574"/>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III</w:t>
      </w:r>
      <w:r w:rsidRPr="000E0324">
        <w:rPr>
          <w:rFonts w:ascii="Times New Roman" w:eastAsia="Times New Roman" w:hAnsi="Times New Roman" w:cs="Times New Roman"/>
          <w:sz w:val="24"/>
          <w:szCs w:val="24"/>
          <w:lang w:val="ru-RU"/>
        </w:rPr>
        <w:t>. Анализ испытуемых образцов</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50. 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завершении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 приступают к анализу испытуемых образцов. До начала анализа 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проверку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пригодности биоаналитической методики.</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51.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обеспечения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 пробоподготовку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валидированной аналитической методикой.</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237" w:right="322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Аналитический цикл</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BD2893">
      <w:pPr>
        <w:spacing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52. 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состоит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холостого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 (подвергнутого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обработке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содержащего 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нулевого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(подвергнутого обработке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 растворов не менее 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 концентрациях, образцов для КК не менее 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 повторностях (или не менее 5 % от количества испытуемых образцов в зависимости от того, что больше) и испытуемых образцов, подлежащих</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номинальные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установлены, градуировочные растворы и образцы для КК необходимо готовить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приготовленные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исходные растворы.</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испытуемые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подлежат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единая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серия 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порядке,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анализироваться.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Единая серия представляет собой образцы, подлежащие пробоподготовке в одно и то же время, то есть последовательной непрерывной обработке одним и тем же аналитиком с использованием одинаковых реактивов в сходных условиях. Следует избегать анализа раздельно приготовленных образцов в качестве нескольких серий в одном аналитическом цикле. Если этого избежать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удается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вследствие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ограничений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стабильности при пробоподготовке) то каждая серия должна включать в себя 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 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минимум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(нижнего, среднего и верхнего). В стандартной операционной процедуре (далее – СОП)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рабочих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заранее установить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его отдельных серий.</w:t>
      </w:r>
    </w:p>
    <w:p w:rsidR="005661C0" w:rsidRPr="000E0324" w:rsidRDefault="00855820" w:rsidP="00903CB0">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53.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снижения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 образцов от 1 субъекта в исследованиях биоэквивалентности рекомендуется осуществлять в рамках 1 аналитического цикла. Образцы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распределить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 доказать правильность и прецизионность для всего цикла.</w:t>
      </w:r>
    </w:p>
    <w:p w:rsidR="005661C0" w:rsidRPr="000E0324" w:rsidRDefault="005661C0" w:rsidP="00903CB0">
      <w:pPr>
        <w:spacing w:before="5" w:after="0" w:line="240" w:lineRule="exact"/>
        <w:rPr>
          <w:rFonts w:ascii="Times New Roman" w:hAnsi="Times New Roman" w:cs="Times New Roman"/>
          <w:sz w:val="24"/>
          <w:szCs w:val="24"/>
          <w:lang w:val="ru-RU"/>
        </w:rPr>
      </w:pPr>
    </w:p>
    <w:p w:rsidR="00BD36AD" w:rsidRDefault="00BD36AD" w:rsidP="00903CB0">
      <w:pPr>
        <w:spacing w:after="0" w:line="240" w:lineRule="auto"/>
        <w:ind w:left="1592" w:right="-20"/>
        <w:rPr>
          <w:rFonts w:ascii="Times New Roman" w:eastAsia="Times New Roman" w:hAnsi="Times New Roman" w:cs="Times New Roman"/>
          <w:sz w:val="24"/>
          <w:szCs w:val="24"/>
        </w:rPr>
      </w:pPr>
    </w:p>
    <w:p w:rsidR="005661C0" w:rsidRPr="000E0324" w:rsidRDefault="00855820" w:rsidP="00903CB0">
      <w:pPr>
        <w:spacing w:after="0" w:line="240" w:lineRule="auto"/>
        <w:ind w:left="1592"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2. Критерии приемлемости аналитического цикла</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BD2893">
      <w:pPr>
        <w:spacing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54.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установить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неприемлемости 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весь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состоит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нескольких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критерии приемлемости должны распространяться на весь цикл и (или) 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отдельности.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приемлемым несмотря на неприемлемость серии в связи с несоблюдением критериев.</w:t>
      </w:r>
    </w:p>
    <w:p w:rsidR="005661C0" w:rsidRPr="000E0324" w:rsidRDefault="00855820" w:rsidP="00903CB0">
      <w:pPr>
        <w:spacing w:before="7" w:after="0" w:line="360"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55.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 аналитического цикла:</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экспериментально рассчитанные концентрации градуировочных 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15 %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номинальных значений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могут находиться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20 %).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 соответствовать не менее 75 % градуировочных растворов, как минимум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градуировочного раствора не соответствует этим критериям, этот результат должен быть исключен, а градуировочная кривая должна быть пересчитана без учета этого результата (повторный регрессионный анализ). Если отклоненный результат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относится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будет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служить следующий наименьший приемлемый градуировочный раствор из диапазона линейности. Если результат для градуировочного раствора с максимальной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неприемлем,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такого аналитического цикла в качестве ВПКО будет служить следующий наибольший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диапазона линейности.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Пересчитанный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 охватывать все образцы для КК (нижнего, среднего и верхнего уровня);</w:t>
      </w:r>
    </w:p>
    <w:p w:rsidR="005661C0" w:rsidRPr="000E0324" w:rsidRDefault="00855820" w:rsidP="00BD2893">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значения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лежать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15 %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номинальных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 соответствовать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67 %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50 % образцов для каждой концентрации. Если эти критерии не соблюдаются, 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забраковать,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подвергнуть повторной пробоподготовке и анализу. При одновременном определении нескольких анализируемых веществ каждому из них 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отдельная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является приемлемым,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неприемлемым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 данные по концентрации приемлемого анализируемого вещества, однако для определения концентрации отклоненного анализируемого вещества образцы необходимо подвергнуть повторной пробоподготовке и анализу.</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56. Если при повторном использовании градуировочных растворов один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оказывается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неприемлемым, аналитический диапазон методики не меняется.</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57.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рассчитать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 принятых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средние значения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превышают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15 %,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дополнительное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расследование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целью объяснения таких отклонений. Подобные результаты при исследованиях биоэквивалентности могут привести к неприемлемости данных.</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822"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Аналитический диапазон (</w:t>
      </w:r>
      <w:r w:rsidRPr="000E0324">
        <w:rPr>
          <w:rFonts w:ascii="Times New Roman" w:eastAsia="Times New Roman" w:hAnsi="Times New Roman" w:cs="Times New Roman"/>
          <w:sz w:val="24"/>
          <w:szCs w:val="24"/>
        </w:rPr>
        <w:t>Calibration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range</w:t>
      </w:r>
      <w:r w:rsidRPr="000E0324">
        <w:rPr>
          <w:rFonts w:ascii="Times New Roman" w:eastAsia="Times New Roman" w:hAnsi="Times New Roman" w:cs="Times New Roman"/>
          <w:sz w:val="24"/>
          <w:szCs w:val="24"/>
          <w:lang w:val="ru-RU"/>
        </w:rPr>
        <w:t>)</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58.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начала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известно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ожидается,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будет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узким,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надежного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расчета 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либо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сузить аналитический диапазон и адаптировать концентрации образцов для КК к</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нему,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либо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новые</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соответствующими концентрациями.</w:t>
      </w:r>
    </w:p>
    <w:p w:rsidR="005661C0" w:rsidRPr="000E0324" w:rsidRDefault="00855820" w:rsidP="00903CB0">
      <w:pPr>
        <w:spacing w:before="21"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59. Если узкого диапазона результатов анализа не ожидается, но он наблюдается после начала анализа образцов, рекомендуется остановить анализ и либо сузить установленный аналитический диапазон с пересмотром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существующих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либо перед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возобновлением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дополнительными концентрациями.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проанализированных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 оптимизации аналитического диапазона или концентраций образцов для КК, не требуется.</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60. Правило, указанное в пункте 59 настоящих Требований также применимо, если выясняется, что большое количество концентраций анализируемого вещества в испытуемых образцах превышает верхнюю границу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возможности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расширить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включить дополнительные образцы для КК или изменить их концентрацию.</w:t>
      </w:r>
    </w:p>
    <w:p w:rsidR="005661C0" w:rsidRPr="000E0324" w:rsidRDefault="00855820" w:rsidP="00903CB0">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61.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установленный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 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входить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расчета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функции отклика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прецизионности биоаналитическая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подлежит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(частичной) валидации.</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981"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Повторный анализ испытуемых образцов</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BD2893">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62. 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начала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плане 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причины повторного анализа испытуемых образцов и критерии выбора значений, подлежащих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w:t>
      </w:r>
      <w:r w:rsidR="00BD289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обосновать</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количество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долю от общего количества), подвергшихся повторному анализу.</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63. Повторный анализ испытуемых образцов, может проводиться в том числе по следующим причинам:</w:t>
      </w:r>
    </w:p>
    <w:p w:rsidR="005661C0" w:rsidRPr="000E0324" w:rsidRDefault="00855820" w:rsidP="00903CB0">
      <w:pPr>
        <w:spacing w:before="6"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забраковка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вследствие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невыполнения критериев приемлемости в отношении правильности градуировочных растворов и (или) образцов для КК;</w:t>
      </w:r>
    </w:p>
    <w:p w:rsidR="005661C0" w:rsidRPr="000E0324" w:rsidRDefault="00855820" w:rsidP="00903CB0">
      <w:pPr>
        <w:spacing w:before="5" w:after="0" w:line="360"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б)аналитический сигнал ВС значительно отличается от сигнала, полученного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такие критерии заранее установлены в СОП);</w:t>
      </w:r>
    </w:p>
    <w:p w:rsidR="005661C0" w:rsidRPr="000E0324" w:rsidRDefault="00855820" w:rsidP="00BD36AD">
      <w:pPr>
        <w:spacing w:before="5" w:after="0" w:line="360"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ошибки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неисправность аналитического оборудования;</w:t>
      </w:r>
    </w:p>
    <w:p w:rsidR="005661C0" w:rsidRPr="000E0324" w:rsidRDefault="00855820" w:rsidP="00BD36AD">
      <w:pPr>
        <w:spacing w:before="5" w:after="0" w:line="360"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наличие циклов, в которых:</w:t>
      </w:r>
    </w:p>
    <w:p w:rsidR="005661C0" w:rsidRPr="000E0324" w:rsidRDefault="00855820" w:rsidP="00BD36AD">
      <w:pPr>
        <w:spacing w:before="5" w:after="0" w:line="360"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градуировочный образец с нижним уровнем был исключен из градуировочной кривой;</w:t>
      </w:r>
    </w:p>
    <w:p w:rsidR="005661C0" w:rsidRPr="000E0324" w:rsidRDefault="00855820" w:rsidP="00BD36AD">
      <w:pPr>
        <w:spacing w:before="5" w:after="0" w:line="360"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рассчитанные концентрации превышают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верхнюю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границу определяемых концентраций;</w:t>
      </w:r>
    </w:p>
    <w:p w:rsidR="005661C0" w:rsidRPr="000E0324" w:rsidRDefault="00855820" w:rsidP="00BD36AD">
      <w:pPr>
        <w:spacing w:before="5" w:after="0" w:line="360"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рассчитанные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находятся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данного 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привело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увеличению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другими циклами;</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обнаружение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биологическом образце,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или в холостых образцах на уровнях НПКО;</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 несоответствие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критериям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проверке пригодности хроматографического анализа.</w:t>
      </w:r>
    </w:p>
    <w:p w:rsidR="005661C0" w:rsidRPr="000E0324" w:rsidRDefault="00855820" w:rsidP="006271E3">
      <w:pPr>
        <w:spacing w:before="4"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64. Повторный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фармакокинетическим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причинам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 является, как правило, неприемлемым, поскольку он может повлиять на</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исказить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повторный 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рассматривать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лабораторного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расследования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выявления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причин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аномальных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предотвращения возникновения подобных проблем в будущем.</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65.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вследствие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обнаружения 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 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фармакокинетическим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причинам,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 подвергнутые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начальных значениях, причинах повторного анализа, значениях, полученных в ходе повторного анализа и указать принятые в итоге значения и обоснования приемлемости.</w:t>
      </w:r>
    </w:p>
    <w:p w:rsidR="005661C0" w:rsidRPr="000E0324" w:rsidRDefault="00855820" w:rsidP="00903CB0">
      <w:pPr>
        <w:spacing w:before="5"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66.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доказана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удовлетворительная прецизионность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инжекции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стабильность подготовленных образцов в устройстве для автоматического ввода проб,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неисправности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оборудования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инжекция 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инжекция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отдельных образцов градуировочных растворов или образцов для КК в силу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элементарного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брака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либо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 какой-либо установленной аналитической причины недопустима.</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67. Безопасность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превалировать над любыми другими аспектами исследования. Поэтому при ее обеспечении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возникнуть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обстоятельства,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требующие повторной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отдельных 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обнаружены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неожиданные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резко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выделяющиеся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повлиять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 безопасность пациента).</w:t>
      </w:r>
    </w:p>
    <w:p w:rsidR="005661C0" w:rsidRPr="000E0324" w:rsidRDefault="005661C0" w:rsidP="00903CB0">
      <w:pPr>
        <w:spacing w:before="6" w:after="0" w:line="220" w:lineRule="exact"/>
        <w:rPr>
          <w:rFonts w:ascii="Times New Roman" w:hAnsi="Times New Roman" w:cs="Times New Roman"/>
          <w:sz w:val="24"/>
          <w:szCs w:val="24"/>
          <w:lang w:val="ru-RU"/>
        </w:rPr>
      </w:pPr>
    </w:p>
    <w:p w:rsidR="005661C0" w:rsidRPr="000E0324" w:rsidRDefault="00855820" w:rsidP="00903CB0">
      <w:pPr>
        <w:spacing w:before="21" w:after="0" w:line="240" w:lineRule="auto"/>
        <w:ind w:left="1804" w:right="1798"/>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 Интегрирование (обработка хроматограмм)</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68.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интегрирование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повторное интегрирование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хроматограмм.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объяснить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отклонения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выполнении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процедур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 Параметры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интегрирования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хроматограмм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повторном интегрировании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начальные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конечные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интегрирования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вносить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лаборатории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запросу.</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211" w:right="119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IV</w:t>
      </w:r>
      <w:r w:rsidRPr="000E0324">
        <w:rPr>
          <w:rFonts w:ascii="Times New Roman" w:eastAsia="Times New Roman" w:hAnsi="Times New Roman" w:cs="Times New Roman"/>
          <w:sz w:val="24"/>
          <w:szCs w:val="24"/>
          <w:lang w:val="ru-RU"/>
        </w:rPr>
        <w:t>. Повторный анализ активных испытанных образцов</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69. Использование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 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всегда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имитирует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испытуемые 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 (например, в связывании с белками, обратное преобразование известных и неизвестных метаболитов, неоднородность (гетерогенность) образцов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сопутствующих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 повлиять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 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оценивать 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посредством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 повторного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Объем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зависит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основываться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аналитической методике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природе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 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ориентироваться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количество 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1000,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подлежит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10 % 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1000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общего числа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образцы, соответствующие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и фазе элиминации.</w:t>
      </w:r>
    </w:p>
    <w:p w:rsidR="005661C0" w:rsidRPr="000E0324" w:rsidRDefault="00855820" w:rsidP="00903CB0">
      <w:pPr>
        <w:spacing w:before="21"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70. Относительная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погрешность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полученной концентрацией и концентрацией, полученной при повторном анализе, не 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67 %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Относительная погрешность рассчитывается по следующей формуле:</w:t>
      </w:r>
    </w:p>
    <w:p w:rsidR="006271E3" w:rsidRPr="000E0324" w:rsidRDefault="006271E3" w:rsidP="00903CB0">
      <w:pPr>
        <w:spacing w:before="21" w:after="0" w:line="360" w:lineRule="auto"/>
        <w:ind w:left="102" w:right="39" w:firstLine="708"/>
        <w:jc w:val="both"/>
        <w:rPr>
          <w:rFonts w:ascii="Times New Roman" w:eastAsia="Times New Roman" w:hAnsi="Times New Roman" w:cs="Times New Roman"/>
          <w:sz w:val="24"/>
          <w:szCs w:val="24"/>
          <w:lang w:val="ru-RU"/>
        </w:rPr>
      </w:pPr>
    </w:p>
    <w:p w:rsidR="006271E3" w:rsidRPr="000E0324" w:rsidRDefault="006271E3" w:rsidP="006271E3">
      <w:pPr>
        <w:pStyle w:val="Bodytext160"/>
        <w:shd w:val="clear" w:color="auto" w:fill="auto"/>
        <w:spacing w:after="120" w:line="240" w:lineRule="auto"/>
        <w:ind w:right="-8"/>
        <w:rPr>
          <w:sz w:val="24"/>
          <w:szCs w:val="24"/>
          <w:lang w:val="ru-RU"/>
        </w:rPr>
      </w:pPr>
      <w:r w:rsidRPr="000E0324">
        <w:rPr>
          <w:sz w:val="24"/>
          <w:szCs w:val="24"/>
          <w:lang w:val="ru-RU"/>
        </w:rPr>
        <w:t xml:space="preserve">Относительная погрешность = </w:t>
      </w:r>
      <m:oMath>
        <m:f>
          <m:fPr>
            <m:ctrlPr>
              <w:rPr>
                <w:rFonts w:ascii="Cambria Math" w:hAnsi="Cambria Math"/>
                <w:b w:val="0"/>
                <w:bCs w:val="0"/>
                <w:i/>
                <w:sz w:val="24"/>
                <w:szCs w:val="24"/>
              </w:rPr>
            </m:ctrlPr>
          </m:fPr>
          <m:num>
            <m:r>
              <m:rPr>
                <m:sty m:val="b"/>
              </m:rPr>
              <w:rPr>
                <w:rFonts w:ascii="Cambria Math" w:hAnsi="Cambria Math"/>
                <w:sz w:val="24"/>
                <w:szCs w:val="24"/>
                <w:lang w:val="ru-RU"/>
              </w:rPr>
              <m:t xml:space="preserve">(повторное значение-исходное значение) </m:t>
            </m:r>
          </m:num>
          <m:den>
            <m:r>
              <m:rPr>
                <m:sty m:val="b"/>
              </m:rPr>
              <w:rPr>
                <w:rFonts w:ascii="Cambria Math" w:hAnsi="Cambria Math"/>
                <w:sz w:val="24"/>
                <w:szCs w:val="24"/>
                <w:lang w:val="ru-RU"/>
              </w:rPr>
              <m:t xml:space="preserve">среднее </m:t>
            </m:r>
            <m:r>
              <m:rPr>
                <m:sty m:val="bi"/>
              </m:rPr>
              <w:rPr>
                <w:rFonts w:ascii="Cambria Math" w:hAnsi="Cambria Math"/>
                <w:sz w:val="24"/>
                <w:szCs w:val="24"/>
                <w:lang w:val="ru-RU"/>
              </w:rPr>
              <m:t>значение</m:t>
            </m:r>
          </m:den>
        </m:f>
      </m:oMath>
      <w:r w:rsidRPr="000E0324">
        <w:rPr>
          <w:sz w:val="24"/>
          <w:szCs w:val="24"/>
          <w:lang w:val="ru-RU"/>
        </w:rPr>
        <w:t>× 100%</w:t>
      </w:r>
    </w:p>
    <w:p w:rsidR="006271E3" w:rsidRPr="000E0324" w:rsidRDefault="006271E3" w:rsidP="006271E3">
      <w:pPr>
        <w:spacing w:before="21" w:after="0" w:line="360" w:lineRule="auto"/>
        <w:ind w:left="102" w:right="39" w:firstLine="708"/>
        <w:jc w:val="both"/>
        <w:rPr>
          <w:rFonts w:ascii="Times New Roman" w:eastAsia="Times New Roman" w:hAnsi="Times New Roman" w:cs="Times New Roman"/>
          <w:sz w:val="24"/>
          <w:szCs w:val="24"/>
          <w:lang w:val="ru-RU"/>
        </w:rPr>
      </w:pPr>
    </w:p>
    <w:p w:rsidR="005661C0" w:rsidRPr="000E0324" w:rsidRDefault="00855820" w:rsidP="006271E3">
      <w:pPr>
        <w:spacing w:before="21"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Относительная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погрешность,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превышающая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указывать на аналитические погрешности и подлежит расследованию.</w:t>
      </w: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71.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выявлены разнородные результаты, необходимо установить их причины и принять надлежащие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минимизации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неудовлетворительной правильности (и прецизионности).</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72. Повторный анализ активных испытанных образцов необходимо осуществлять, как минимум, в следующих случаях:</w:t>
      </w:r>
    </w:p>
    <w:p w:rsidR="005661C0" w:rsidRPr="000E0324" w:rsidRDefault="00855820" w:rsidP="00903CB0">
      <w:pPr>
        <w:spacing w:before="8"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токсикокинетических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каждого вида животных;</w:t>
      </w:r>
    </w:p>
    <w:p w:rsidR="005661C0" w:rsidRPr="000E0324" w:rsidRDefault="00855820" w:rsidP="00903CB0">
      <w:pPr>
        <w:spacing w:before="8" w:after="0" w:line="360"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опорных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(регистрационных)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исследованиях биоэквивалентности;</w:t>
      </w:r>
    </w:p>
    <w:p w:rsidR="005661C0" w:rsidRPr="000E0324" w:rsidRDefault="00855820" w:rsidP="00903CB0">
      <w:pPr>
        <w:spacing w:before="4"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в) во всех клинических исследованиях, впервые проводимых у человека;</w:t>
      </w:r>
    </w:p>
    <w:p w:rsidR="005661C0" w:rsidRPr="000E0324" w:rsidRDefault="00855820" w:rsidP="00903CB0">
      <w:pPr>
        <w:spacing w:before="4"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во всех клинических исследованиях, впервые проводимых у пациентов;</w:t>
      </w:r>
    </w:p>
    <w:p w:rsidR="005661C0" w:rsidRPr="000E0324" w:rsidRDefault="00855820" w:rsidP="00903CB0">
      <w:pPr>
        <w:spacing w:before="6"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 во всех клинических исследованиях, впервые проводимых у пациентов с печеночной и (или) почечной недостаточностью.</w:t>
      </w:r>
    </w:p>
    <w:p w:rsidR="005661C0" w:rsidRPr="000E0324" w:rsidRDefault="00855820" w:rsidP="006271E3">
      <w:pPr>
        <w:spacing w:before="8"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Повторный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проведении исследований на животных допускается проводить только в исследованиях ранней фазы при условии, что такой анализ является репрезентативным для опорных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относительно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введенной</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 анализируемого вещества.</w:t>
      </w:r>
    </w:p>
    <w:p w:rsidR="005661C0" w:rsidRPr="000E0324" w:rsidRDefault="00855820" w:rsidP="00903CB0">
      <w:pPr>
        <w:spacing w:before="4" w:after="0" w:line="360"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73. 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подлежат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смешиванию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другом,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поскольку это может ограничить выявление резко выделяющихся результатов.</w:t>
      </w:r>
    </w:p>
    <w:p w:rsidR="005661C0" w:rsidRPr="000E0324" w:rsidRDefault="005661C0" w:rsidP="00903CB0">
      <w:pPr>
        <w:spacing w:before="6" w:after="0" w:line="240" w:lineRule="exact"/>
        <w:rPr>
          <w:rFonts w:ascii="Times New Roman" w:hAnsi="Times New Roman" w:cs="Times New Roman"/>
          <w:sz w:val="24"/>
          <w:szCs w:val="24"/>
          <w:lang w:val="ru-RU"/>
        </w:rPr>
      </w:pPr>
    </w:p>
    <w:p w:rsidR="005661C0" w:rsidRPr="000E0324" w:rsidRDefault="00855820" w:rsidP="006271E3">
      <w:pPr>
        <w:spacing w:after="0" w:line="240" w:lineRule="auto"/>
        <w:ind w:left="2590" w:right="2585"/>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V</w:t>
      </w:r>
      <w:r w:rsidRPr="000E0324">
        <w:rPr>
          <w:rFonts w:ascii="Times New Roman" w:eastAsia="Times New Roman" w:hAnsi="Times New Roman" w:cs="Times New Roman"/>
          <w:sz w:val="24"/>
          <w:szCs w:val="24"/>
          <w:lang w:val="ru-RU"/>
        </w:rPr>
        <w:t>. Полимерсвязывающие методы</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(методы связывания лиганда)</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172" w:right="3165"/>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Стандартные образцы</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6271E3">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74. Макромолекулы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являются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гетерогенными,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поэтому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 активность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иммунореактивность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варьироваться.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Стандартный материал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хорошо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документирован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 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иметь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сертификат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подтверждающие происхождение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материала).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 наиболее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чистый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образец</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доступных.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приготовлении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 рекомендуется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которая использовалась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доклинических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клинических 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смене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ее использованием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аналитических характеристик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биоаналитическую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пригодность,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 удостовериться,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функциональные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position w:val="-1"/>
          <w:sz w:val="24"/>
          <w:szCs w:val="24"/>
          <w:lang w:val="ru-RU"/>
        </w:rPr>
        <w:t>нарушены.</w:t>
      </w:r>
    </w:p>
    <w:p w:rsidR="005661C0" w:rsidRPr="000E0324" w:rsidRDefault="005661C0" w:rsidP="00903CB0">
      <w:pPr>
        <w:spacing w:before="6" w:after="0" w:line="150" w:lineRule="exact"/>
        <w:rPr>
          <w:rFonts w:ascii="Times New Roman" w:hAnsi="Times New Roman" w:cs="Times New Roman"/>
          <w:sz w:val="24"/>
          <w:szCs w:val="24"/>
          <w:lang w:val="ru-RU"/>
        </w:rPr>
      </w:pPr>
    </w:p>
    <w:p w:rsidR="005661C0" w:rsidRPr="000E0324" w:rsidRDefault="00855820" w:rsidP="00903CB0">
      <w:pPr>
        <w:spacing w:before="21" w:after="0" w:line="240" w:lineRule="auto"/>
        <w:ind w:left="3644"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Валидация методики</w:t>
      </w:r>
    </w:p>
    <w:p w:rsidR="005661C0" w:rsidRPr="000E0324" w:rsidRDefault="005661C0" w:rsidP="00903CB0">
      <w:pPr>
        <w:spacing w:before="3" w:after="0" w:line="170" w:lineRule="exact"/>
        <w:rPr>
          <w:rFonts w:ascii="Times New Roman" w:hAnsi="Times New Roman" w:cs="Times New Roman"/>
          <w:sz w:val="24"/>
          <w:szCs w:val="24"/>
          <w:lang w:val="ru-RU"/>
        </w:rPr>
      </w:pPr>
    </w:p>
    <w:p w:rsidR="005661C0" w:rsidRPr="000E0324" w:rsidRDefault="00855820" w:rsidP="006271E3">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75.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фармакокинетики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 основе макромолекул наиболее часто используются методы, основанные 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связывании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лиганда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(МСЛ),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иммунохимические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методы. Принципы валидации и рекомендации по анализу испытуемых образцов 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МСЛ.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создавать</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затруднения при проведении их валидации. Ввиду присущих макромолекулам свойств и их сложной структуры процесс пробоподготовки (извлечения) затруднителен, поэтому анализ, как правило,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проводят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предварительного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 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Кроме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позволяют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непосредственно определить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самих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макромолекул,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 косвенно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измеряют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связывания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макромолекул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реактивами, использующимися в методе (методике).</w:t>
      </w:r>
    </w:p>
    <w:p w:rsidR="005661C0" w:rsidRPr="000E0324" w:rsidRDefault="005661C0" w:rsidP="00903CB0">
      <w:pPr>
        <w:spacing w:before="7" w:after="0" w:line="240" w:lineRule="exact"/>
        <w:rPr>
          <w:rFonts w:ascii="Times New Roman" w:hAnsi="Times New Roman" w:cs="Times New Roman"/>
          <w:sz w:val="24"/>
          <w:szCs w:val="24"/>
          <w:lang w:val="ru-RU"/>
        </w:rPr>
      </w:pPr>
    </w:p>
    <w:p w:rsidR="00BD36AD" w:rsidRDefault="00BD36AD" w:rsidP="00903CB0">
      <w:pPr>
        <w:spacing w:after="0" w:line="240" w:lineRule="auto"/>
        <w:ind w:left="3557" w:right="3551"/>
        <w:jc w:val="center"/>
        <w:rPr>
          <w:rFonts w:ascii="Times New Roman" w:eastAsia="Times New Roman" w:hAnsi="Times New Roman" w:cs="Times New Roman"/>
          <w:sz w:val="24"/>
          <w:szCs w:val="24"/>
        </w:rPr>
      </w:pPr>
    </w:p>
    <w:p w:rsidR="00BD36AD" w:rsidRDefault="00BD36AD" w:rsidP="00903CB0">
      <w:pPr>
        <w:spacing w:after="0" w:line="240" w:lineRule="auto"/>
        <w:ind w:left="3557" w:right="3551"/>
        <w:jc w:val="center"/>
        <w:rPr>
          <w:rFonts w:ascii="Times New Roman" w:eastAsia="Times New Roman" w:hAnsi="Times New Roman" w:cs="Times New Roman"/>
          <w:sz w:val="24"/>
          <w:szCs w:val="24"/>
        </w:rPr>
      </w:pPr>
    </w:p>
    <w:p w:rsidR="005661C0" w:rsidRPr="000E0324" w:rsidRDefault="00855820" w:rsidP="00903CB0">
      <w:pPr>
        <w:spacing w:after="0" w:line="240" w:lineRule="auto"/>
        <w:ind w:left="3557" w:right="355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Полная валидация</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698" w:right="3688"/>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Специфичность</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6271E3">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76. Под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специфичностью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связывания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реактивами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понимается способность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реактивов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связываться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исключительно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изучаемым анализируемым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Специфичность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связана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концепцией перекрестной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реактивности.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Теоретически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связывающий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реактив 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специфичным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обладать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перекрестной реактивностью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«структурно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родственными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соединениями» (например,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эндогенными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изоформами,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вариантными формами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аналогичными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физико- химическим свойствам соединениями) и лекарственными препаратами, сопутствующий прием которых вероятен субъектами исследования. При разработке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«структурно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родственные соединения»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специфичности 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осуществлять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завершения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накопления данных о свойствах анализируемого вещества. Специфичность следует испытывать с использованием образцов для КК, посредством прибавления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никогда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содержавшие действующего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животных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никогда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вводили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анализируемое вещество),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возрастающих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доступных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«структурно родственных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молекул»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 ожидается,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будут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применяться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одновременно,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посредством 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рассматриваемой макромолекулы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границы определяемых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образцов для КК должны находиться в пределах ± 25 % от номинальных значений.</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726" w:right="3720"/>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Селективность</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6271E3">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77. Под селективностью методики связывания лиганда понимается способность определять рассматриваемое анализируемое вещество в присутствии неродственных соединений в биологическом образце. Ввиду присущих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макромолекулам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свойств их извлечение, 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правило, не проводят. В связи с этим, неродственные соединения, содержащиеся в биологическом образце (например, ферменты, осуществляющие деградацию макромолекул, гетерофильные антитела или ревматоидный фактор)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оказывать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 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Селективность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испытывают посредством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прибавления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10</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источников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биологических 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близком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источники 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гиперлипидемические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гемолизированные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 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источники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 полученные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 популяции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пациентов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соответствующим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заболеванием. Селективность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близком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нему. 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целесообразно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селективность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высоких концентрациях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носит</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концентрационно зависимый характер, необходимо установить минимальную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концентрацию,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значимо. Значения правильности методики должны находиться в пределах ± 20 % (± 25 % при НПКО) от номинальной концентрации в по меньшей мере</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80 % изученных биологических образцов.</w:t>
      </w:r>
    </w:p>
    <w:p w:rsidR="005661C0" w:rsidRPr="000E0324" w:rsidRDefault="005661C0" w:rsidP="00903CB0">
      <w:pPr>
        <w:spacing w:before="11"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3573" w:right="3567"/>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Эффект переноса</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78.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автоматизированных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дозирующих устройств необходимо изучить возможность переноса в образцы 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посредством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помещения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холостых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 после образцов с высокой концентрацией анализируемого вещества или градуировочного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определяемых концентраций</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713" w:right="170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Выбор разновидности биологического образца.</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6271E3">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79. Ввиду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значительного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 структурно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родственных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эндогенных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соединений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 определение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макромолекул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предварительного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 извлечения из сложных биологических образцов невозможно. Несмотря 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извлечений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 (например,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сорбции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угле,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иммуноаффинных сорбентов) или альтернативных матриц (например, модельных белковых буферных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диализированной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сыворотки)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рекомендуется, в некоторых случаях это является вынужденной мерой, поскольку иная стратегия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рассматриваемого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 отсутствует. Градуировочную стандартную кривую допускается строить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помощью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«модельных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готовить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фактическом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оценкой правильности, подтверждающей отсутствие эффекта матрицы.</w:t>
      </w:r>
    </w:p>
    <w:p w:rsidR="005661C0" w:rsidRPr="000E0324" w:rsidRDefault="005661C0" w:rsidP="00903CB0">
      <w:pPr>
        <w:spacing w:before="4"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351" w:right="234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Минимально необходимое разведение</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80. Поскольку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могут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высокий фоновый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сигнал,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потребоваться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минимально необходимого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минимально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необходимым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разведением понимается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наименьшее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развести образец</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буферном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оптимизации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прецизионности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пеосредством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снижения соотношения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сигнал-фоновый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сигнал».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минимально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 готовить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разновидности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испытуемые образцы.</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246" w:right="3235"/>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Градуировочная кривая</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6271E3">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81. При построении градуировочной кривой зависимость косвенно измеряемого сигнала от концентрации, как правило, является нелинейной,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обычно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сигмовидной.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меньшей мере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повторностях. Градуировочные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приблизительно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равномерно распределить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логарифмической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шкале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ожидаемого 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Помимо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построения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якорные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лежащие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вне области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изучить 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меньшей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независимых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 установить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совокупную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устойчивость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регрессионной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модели градуировочной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проанализировать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виде</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таблицы.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 вследствие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технической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ошибки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(промаха)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выявлении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причины (например,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ошибка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отмеривания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дозатором).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Целевые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 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 методом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пересчета,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20 %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 номинального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25 %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границы определяемых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75 % проанализированных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Якорные калибраторы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требуют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критериев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 поскольку они не входят в область аналитического диапазона.</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618" w:right="2611"/>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Прецизионность и правильность</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6271E3">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82. 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 использовать свежеприготовленные образцы для КК, их необходимо предварительно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заморозить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работать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анализе 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общей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ошибки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меньшей мере 5 образцов для КК (ожидаемый уровень НПКО, уровень не более, чем в 3 раза превышающий НПКО, средний уровень, верхний уровень и ожидаемую верхнюю границу определяемых концентраций). Валидация 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имитировать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реальный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есть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рекомендациями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 подвергаются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двукратному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использованием</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 лунок), то в ходе валидации образцы для КК следует подвергать двукратному анализу (то есть с использованием 2 лунок на каждый образец</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меньшей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независимых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нескольких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дней.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отношении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внутри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средние</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 концентраций должны укладываться в ± 20 % от номинального значения</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25 %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границы определяемых концентраций). Более того, общая ошибка (то есть сумма абсолютного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относительной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ошибки,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выраженной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процентах,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коэффициента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выраженного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процентах)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(40 %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границы определяемых концентраций)</w:t>
      </w:r>
    </w:p>
    <w:p w:rsidR="005661C0" w:rsidRPr="000E0324" w:rsidRDefault="005661C0" w:rsidP="00903CB0">
      <w:pPr>
        <w:spacing w:before="5"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2643"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Линейность разведения образцов</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83. Ввиду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узости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 градиуровочного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 подтвердить,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рассматриваемое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вещество, присутствующее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превышающих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область количественного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(выше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определяемых 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помощью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 разведения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холостой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матрицей,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концентрации 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укладывающиеся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валидированный 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Дополнительной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причиной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 экспериментов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разведением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служит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обнаружение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потенциальных прозон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сползания»,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подавления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сигнала, обусловленного высокими концентрациями анализируемого вещества. Концентрация для каждого разведения, вычисленная методом пересчета, 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20 %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номинального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 концентрации после поправки на разведение, прецизионность конечных концентраций всех разведений не должна превышать 20 %.</w:t>
      </w:r>
    </w:p>
    <w:p w:rsidR="005661C0" w:rsidRPr="000E0324" w:rsidRDefault="005661C0" w:rsidP="00903CB0">
      <w:pPr>
        <w:spacing w:before="6" w:after="0" w:line="220" w:lineRule="exact"/>
        <w:rPr>
          <w:rFonts w:ascii="Times New Roman" w:hAnsi="Times New Roman" w:cs="Times New Roman"/>
          <w:sz w:val="24"/>
          <w:szCs w:val="24"/>
          <w:lang w:val="ru-RU"/>
        </w:rPr>
      </w:pPr>
    </w:p>
    <w:p w:rsidR="005661C0" w:rsidRPr="000E0324" w:rsidRDefault="00855820" w:rsidP="00903CB0">
      <w:pPr>
        <w:spacing w:before="21" w:after="0" w:line="240" w:lineRule="auto"/>
        <w:ind w:left="3914" w:right="3902"/>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Параллелизм</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58" w:lineRule="auto"/>
        <w:ind w:left="102" w:right="34"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84.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наличии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выявления возможного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эффекта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матрицы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различающейся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аффинности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 метаболитам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параллелизм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 соответствующими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результатами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подвергшихся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серийному разведению.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образец</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концентрацией (предпочтительно,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близкой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развести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помощью холостого образца минимум в 3 раза. Прецизионность между образцами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разведений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превышать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 разведены нелинейно (непараллельно), необходимо заранее определить процедуру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 (методики)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недоступны,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параллелизм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 изучить, как только испытуемые образцы станут доступны.</w:t>
      </w:r>
    </w:p>
    <w:p w:rsidR="005661C0" w:rsidRPr="000E0324" w:rsidRDefault="005661C0" w:rsidP="00903CB0">
      <w:pPr>
        <w:spacing w:before="9"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772" w:right="3760"/>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Стабильность</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85. 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вещества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используя 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низкими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помощью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способа,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подразделе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 части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указывалось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изучении стабильности необходимо установить краткосрочную стабильность при комнатной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пробоподготовки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«замораживании-размораживании».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Кроме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 следует изучить естественную стабильность в замороженном состоянии при каждой температуре, при которой будут храниться образцы.</w:t>
      </w:r>
    </w:p>
    <w:p w:rsidR="005661C0" w:rsidRPr="000E0324" w:rsidRDefault="00855820" w:rsidP="00903CB0">
      <w:pPr>
        <w:spacing w:before="7" w:after="0" w:line="360"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86. Среднее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пределах ± 20 % от номинального значения.</w:t>
      </w:r>
    </w:p>
    <w:p w:rsidR="005661C0" w:rsidRPr="000E0324" w:rsidRDefault="005661C0" w:rsidP="00903CB0">
      <w:pPr>
        <w:spacing w:before="6" w:after="0" w:line="220" w:lineRule="exact"/>
        <w:rPr>
          <w:rFonts w:ascii="Times New Roman" w:hAnsi="Times New Roman" w:cs="Times New Roman"/>
          <w:sz w:val="24"/>
          <w:szCs w:val="24"/>
          <w:lang w:val="ru-RU"/>
        </w:rPr>
      </w:pPr>
    </w:p>
    <w:p w:rsidR="005661C0" w:rsidRPr="000E0324" w:rsidRDefault="00855820" w:rsidP="00903CB0">
      <w:pPr>
        <w:spacing w:before="21" w:after="0" w:line="240" w:lineRule="auto"/>
        <w:ind w:left="4091" w:right="4085"/>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Реактивы</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87. Ключевые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реактивы,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связывающие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реактивы (например,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связывающие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белки,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аптамеры,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антитела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конъюгированные антитела), а также реактивы, содержащие соединения 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ферментативной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активностью,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оказывают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прямое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 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вследствие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обеспечить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 качество.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Соответственно,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изменении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реактива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ходе 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подтвердить 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функций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 убедиться,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использования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предыдущей серии не нарушалась.</w:t>
      </w:r>
    </w:p>
    <w:p w:rsidR="005661C0" w:rsidRPr="000E0324" w:rsidRDefault="00855820" w:rsidP="00903CB0">
      <w:pPr>
        <w:spacing w:before="7"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88.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обеспечения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отсутствия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влияния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аналитические функции</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времени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документировать условия,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гарантирующие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поддержание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 второстепенных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реактивов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(например,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буферных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 растворителей и модификаторов значений рН), так и, что более важно, ключевых реактивов (реагентов).</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313" w:right="3304"/>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i/>
          <w:sz w:val="24"/>
          <w:szCs w:val="24"/>
          <w:lang w:val="ru-RU"/>
        </w:rPr>
        <w:t>Коммерческие наборы</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89. Коммерческие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наборы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валидировать, чтобы обеспечить правильность и прецизионность при анализе образцов уровня НПКО и образцов для КК в аналитическом диапазоне, который будет использоваться для анализа испытуемых образцов. Применяются принципы валидации, указанные в настоящем подразделе Требований.</w:t>
      </w:r>
    </w:p>
    <w:p w:rsidR="005661C0" w:rsidRPr="000E0324" w:rsidRDefault="005661C0" w:rsidP="00903CB0">
      <w:pPr>
        <w:spacing w:before="6" w:after="0" w:line="220" w:lineRule="exact"/>
        <w:rPr>
          <w:rFonts w:ascii="Times New Roman" w:hAnsi="Times New Roman" w:cs="Times New Roman"/>
          <w:sz w:val="24"/>
          <w:szCs w:val="24"/>
          <w:lang w:val="ru-RU"/>
        </w:rPr>
      </w:pPr>
    </w:p>
    <w:p w:rsidR="005661C0" w:rsidRPr="000E0324" w:rsidRDefault="00855820" w:rsidP="00903CB0">
      <w:pPr>
        <w:spacing w:before="21" w:after="0" w:line="240" w:lineRule="auto"/>
        <w:ind w:left="1504" w:right="1495"/>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Частичная валидация и перекрестная валидация</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6271E3">
      <w:pPr>
        <w:spacing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90. Все требования к валидации, рассмотренные в подразделах 3 и</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4 части </w:t>
      </w:r>
      <w:r w:rsidRPr="000E0324">
        <w:rPr>
          <w:rFonts w:ascii="Times New Roman" w:eastAsia="Times New Roman" w:hAnsi="Times New Roman" w:cs="Times New Roman"/>
          <w:sz w:val="24"/>
          <w:szCs w:val="24"/>
        </w:rPr>
        <w:t>II</w:t>
      </w:r>
      <w:r w:rsidRPr="000E0324">
        <w:rPr>
          <w:rFonts w:ascii="Times New Roman" w:eastAsia="Times New Roman" w:hAnsi="Times New Roman" w:cs="Times New Roman"/>
          <w:sz w:val="24"/>
          <w:szCs w:val="24"/>
          <w:lang w:val="ru-RU"/>
        </w:rPr>
        <w:t xml:space="preserve"> настоящих Требований применимы к МСЛ.</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2655" w:right="2647"/>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Анализ испытуемых образцов</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385" w:right="3377"/>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Аналитический цикл</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91. Наиболее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МСЛ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планшет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микропроб.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может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состоять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нескольких планшетов,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однако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отдельный комплект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 компенсации различия между характеристиками планшетов. Некоторые платформы вмещают ограниченное количество образцов. В связи с этим допустимо помещать комплект градуировочных стандартов в первую и последнюю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платформы,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размещать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каждой платформе.</w:t>
      </w:r>
    </w:p>
    <w:p w:rsidR="005661C0" w:rsidRPr="000E0324" w:rsidRDefault="00855820" w:rsidP="00903CB0">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92. Рекомендуется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анализировать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меньшей мере в 2 повторностях.</w:t>
      </w:r>
    </w:p>
    <w:p w:rsidR="005661C0" w:rsidRPr="000E0324" w:rsidRDefault="005661C0" w:rsidP="00903CB0">
      <w:pPr>
        <w:spacing w:before="4"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125" w:right="1115"/>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Критерии приемлемости анализа испытуемых образцов.</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5"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93. 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вычисленные методом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пересчета,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20 %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 номинального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исключением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НПКО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верхней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границы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определяемых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 укладываться в ± 25 %). Этот критерий должен выполняться по меньшей мере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75 %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проанализированных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стандартов, минимальное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установления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 диапазона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распространяется на якорные калибраторы.</w:t>
      </w:r>
    </w:p>
    <w:p w:rsidR="005661C0" w:rsidRPr="000E0324" w:rsidRDefault="00855820" w:rsidP="00903CB0">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94. Каждый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планшет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концентраций 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(низкого,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верхнего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уровня)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меньшей мере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повторностях.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Кроме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 должны имитировать анализ испытуемых образцов по количеству лунок 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образец.</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меньшей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67 % проанализированных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50 %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каждой концентрации должны укладываться в диапазон ± 20 % от номинального значения.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несоответствия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обосновать.</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444" w:right="1434"/>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Повторный анализ активных испытанных образцов</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95. 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вопросы,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касающиеся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ранее испытанных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 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рассмотренные в подразделе 4</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Pr="000E0324">
        <w:rPr>
          <w:rFonts w:ascii="Times New Roman" w:eastAsia="Times New Roman" w:hAnsi="Times New Roman" w:cs="Times New Roman"/>
          <w:sz w:val="24"/>
          <w:szCs w:val="24"/>
          <w:lang w:val="ru-RU"/>
        </w:rPr>
        <w:t xml:space="preserve"> настоящих Требований, применимы и к методикам связывания лиганда. 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первичном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анализах, 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находиться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пределах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30 %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среднего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менее чем 67 % повторов.</w:t>
      </w:r>
    </w:p>
    <w:p w:rsidR="005661C0" w:rsidRPr="000E0324" w:rsidRDefault="005661C0" w:rsidP="00903CB0">
      <w:pPr>
        <w:spacing w:before="7"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760" w:right="3752"/>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VI</w:t>
      </w:r>
      <w:r w:rsidRPr="000E0324">
        <w:rPr>
          <w:rFonts w:ascii="Times New Roman" w:eastAsia="Times New Roman" w:hAnsi="Times New Roman" w:cs="Times New Roman"/>
          <w:sz w:val="24"/>
          <w:szCs w:val="24"/>
          <w:lang w:val="ru-RU"/>
        </w:rPr>
        <w:t>. Отчетность</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96. В отчет (отчеты) о валидации и аналитический отчет (отчеты) 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аудитах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(инспекциях), если таковые проводились.</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378" w:right="336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Отчет о валидации</w:t>
      </w:r>
    </w:p>
    <w:p w:rsidR="005661C0" w:rsidRPr="000E0324" w:rsidRDefault="005661C0" w:rsidP="00903CB0">
      <w:pPr>
        <w:spacing w:before="18" w:after="0" w:line="22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97. При высокой детализации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сведений, содержащихся в отчете о валидации, достаточно указать ссылки на СОП по соответствующим процедурам, необходимым для анализа. В противном случае данные СОП необходимо приложить к отчету о валидации.</w:t>
      </w:r>
    </w:p>
    <w:p w:rsidR="005661C0" w:rsidRPr="000E0324" w:rsidRDefault="00855820" w:rsidP="00903CB0">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Все первичные документы должны быть доступны в их исходном формате по запросу эксперта.</w:t>
      </w:r>
    </w:p>
    <w:p w:rsidR="005661C0" w:rsidRPr="000E0324" w:rsidRDefault="00855820" w:rsidP="00BD36AD">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отклонения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документировать.</w:t>
      </w:r>
    </w:p>
    <w:p w:rsidR="005661C0" w:rsidRPr="000E0324" w:rsidRDefault="00855820" w:rsidP="00BD36AD">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98. Минимальные требования к содержанию отчета о валидации:</w:t>
      </w:r>
    </w:p>
    <w:p w:rsidR="005661C0" w:rsidRPr="000E0324" w:rsidRDefault="00855820" w:rsidP="00BD36AD">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резюме валидации;</w:t>
      </w:r>
    </w:p>
    <w:p w:rsidR="005661C0" w:rsidRPr="000E0324" w:rsidRDefault="00855820" w:rsidP="00BD36AD">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применимо, ее источник (ссылки на источники литературы для разработки методики и (или) модификация методики);</w:t>
      </w:r>
    </w:p>
    <w:p w:rsidR="005661C0" w:rsidRPr="000E0324" w:rsidRDefault="00855820" w:rsidP="00BD36AD">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(анализируемое вещество, ВС, пробоподготовка, анализ);</w:t>
      </w:r>
    </w:p>
    <w:p w:rsidR="005661C0" w:rsidRPr="000E0324" w:rsidRDefault="00855820" w:rsidP="00BD36AD">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стандартные образцы (происхождение, номер серии, сертификат анализа, стабильность и условия хранения);</w:t>
      </w:r>
    </w:p>
    <w:p w:rsidR="005661C0" w:rsidRPr="000E0324" w:rsidRDefault="00855820" w:rsidP="00BD36AD">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 градуировочные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 (разновидность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антикоагулянт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применимо), приготовление градуировочных растворов с указанием дат и условий хранения);</w:t>
      </w:r>
    </w:p>
    <w:p w:rsidR="005661C0" w:rsidRPr="000E0324" w:rsidRDefault="00855820" w:rsidP="00BD36AD">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 критерии приемлемости цикла;</w:t>
      </w:r>
    </w:p>
    <w:p w:rsidR="005661C0" w:rsidRPr="000E0324" w:rsidRDefault="00855820" w:rsidP="00BD36AD">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ж) результаты анализа:</w:t>
      </w:r>
    </w:p>
    <w:p w:rsidR="005661C0" w:rsidRPr="000E0324" w:rsidRDefault="00855820" w:rsidP="00BD36AD">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таблица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перечислением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выполненных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аналитических циклов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описанием причин неприемлемости цикла;</w:t>
      </w:r>
    </w:p>
    <w:p w:rsidR="005661C0" w:rsidRPr="000E0324" w:rsidRDefault="00855820" w:rsidP="00BD36AD">
      <w:pPr>
        <w:spacing w:before="21"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таблица с перечислением результатов градуировки всех приемлемых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 функцию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экспериментально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рассчитанные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значения правильности;</w:t>
      </w:r>
    </w:p>
    <w:p w:rsidR="005661C0" w:rsidRPr="000E0324" w:rsidRDefault="00855820" w:rsidP="006271E3">
      <w:pPr>
        <w:spacing w:before="8"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таблица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приемлемых аналитических циклов (прецизионность и правильность внутри цикла и</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четко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обозначить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значения,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находящиеся вне критериев приемлемости;</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стабильности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рабочих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 для КК, охватывающие использованные условия хранения;</w:t>
      </w:r>
    </w:p>
    <w:p w:rsidR="005661C0" w:rsidRPr="000E0324" w:rsidRDefault="00855820" w:rsidP="00903CB0">
      <w:pPr>
        <w:spacing w:before="6" w:after="0" w:line="359"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данные о селективности, НПКО, эффекте переноса, эффекте матрицы (если применимо) и линейности;</w:t>
      </w:r>
    </w:p>
    <w:p w:rsidR="005661C0" w:rsidRPr="000E0324" w:rsidRDefault="00855820" w:rsidP="00903CB0">
      <w:pPr>
        <w:spacing w:before="8"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з) непредвиденные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полученные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ходе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полным обоснованием принятых мер;</w:t>
      </w:r>
    </w:p>
    <w:p w:rsidR="005661C0" w:rsidRPr="000E0324" w:rsidRDefault="00855820" w:rsidP="00903CB0">
      <w:pPr>
        <w:spacing w:before="8"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 отклонения</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отклонений, влияние их на результаты исследования, дополнительные данные).</w:t>
      </w:r>
    </w:p>
    <w:p w:rsidR="005661C0" w:rsidRPr="000E0324" w:rsidRDefault="00855820" w:rsidP="00903CB0">
      <w:pPr>
        <w:spacing w:before="4"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99.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 отдельных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измерений,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 (стандартов) и образцов для КК.</w:t>
      </w:r>
    </w:p>
    <w:p w:rsidR="005661C0" w:rsidRPr="000E0324" w:rsidRDefault="005661C0" w:rsidP="00903CB0">
      <w:pPr>
        <w:spacing w:before="8"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1338" w:right="-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Аналитический отчет о проведенном исследовании</w:t>
      </w:r>
    </w:p>
    <w:p w:rsidR="005661C0" w:rsidRPr="000E0324" w:rsidRDefault="005661C0" w:rsidP="00903CB0">
      <w:pPr>
        <w:spacing w:before="1" w:after="0" w:line="240" w:lineRule="exact"/>
        <w:rPr>
          <w:rFonts w:ascii="Times New Roman" w:hAnsi="Times New Roman" w:cs="Times New Roman"/>
          <w:sz w:val="24"/>
          <w:szCs w:val="24"/>
          <w:lang w:val="ru-RU"/>
        </w:rPr>
      </w:pPr>
    </w:p>
    <w:p w:rsidR="005661C0" w:rsidRPr="000E0324" w:rsidRDefault="00855820" w:rsidP="00903CB0">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100.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 необходимо включить ссылку на отчеты о валидации, соответствующие анализу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Кроме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представить подробное описание анализа испытуемых образцов.</w:t>
      </w:r>
    </w:p>
    <w:p w:rsidR="005661C0" w:rsidRPr="000E0324" w:rsidRDefault="00855820" w:rsidP="00903CB0">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101.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высокой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детализации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сведений,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отражаемых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аналитическом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достаточно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ссылки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соответствующим процедурам, необходимым для анализа. В противном случае данные СОП необходимо приложить к отчету.</w:t>
      </w:r>
    </w:p>
    <w:p w:rsidR="005661C0" w:rsidRPr="000E0324" w:rsidRDefault="00855820" w:rsidP="00903CB0">
      <w:pPr>
        <w:spacing w:before="7"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102. 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первичные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доступны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 исходном формате по запросу эксперта.</w:t>
      </w:r>
    </w:p>
    <w:p w:rsidR="005661C0" w:rsidRPr="000E0324" w:rsidRDefault="00855820" w:rsidP="00903CB0">
      <w:pPr>
        <w:spacing w:before="8" w:after="0" w:line="359"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103.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отклонения от плана анализа, аналитической методики или СОП.</w:t>
      </w:r>
    </w:p>
    <w:p w:rsidR="005661C0" w:rsidRPr="000E0324" w:rsidRDefault="00855820" w:rsidP="00903CB0">
      <w:pPr>
        <w:spacing w:before="21"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104. Минимальные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аналитического отчета о проведенном исследовании:</w:t>
      </w:r>
    </w:p>
    <w:p w:rsidR="005661C0" w:rsidRPr="000E0324" w:rsidRDefault="00855820" w:rsidP="00903CB0">
      <w:pPr>
        <w:spacing w:before="4"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стандартные образцы (происхождение, номер серии, сертификат анализа, стабильность и условия хранения);</w:t>
      </w:r>
    </w:p>
    <w:p w:rsidR="005661C0" w:rsidRPr="000E0324" w:rsidRDefault="00855820" w:rsidP="00903CB0">
      <w:pPr>
        <w:spacing w:before="6" w:after="0" w:line="359" w:lineRule="auto"/>
        <w:ind w:left="102" w:right="4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градуировочные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(стандарты)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 (условия хранения);</w:t>
      </w:r>
    </w:p>
    <w:p w:rsidR="005661C0" w:rsidRPr="000E0324" w:rsidRDefault="00855820" w:rsidP="00BD36AD">
      <w:pPr>
        <w:spacing w:before="6" w:after="0" w:line="359" w:lineRule="auto"/>
        <w:ind w:left="102" w:right="4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критерии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(краткое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ссылка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 соответствующий протокол или СОП);</w:t>
      </w:r>
    </w:p>
    <w:p w:rsidR="005661C0" w:rsidRPr="000E0324" w:rsidRDefault="00855820" w:rsidP="00BD36AD">
      <w:pPr>
        <w:spacing w:before="6" w:after="0" w:line="359" w:lineRule="auto"/>
        <w:ind w:left="102" w:right="4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описание количественного определения (краткое описание);</w:t>
      </w:r>
    </w:p>
    <w:p w:rsidR="005661C0" w:rsidRPr="000E0324" w:rsidRDefault="00855820" w:rsidP="00BD36AD">
      <w:pPr>
        <w:spacing w:before="6" w:after="0" w:line="359" w:lineRule="auto"/>
        <w:ind w:left="102" w:right="4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д) схема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движения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содержание, состояние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место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 применимо));</w:t>
      </w:r>
    </w:p>
    <w:p w:rsidR="005661C0" w:rsidRPr="000E0324" w:rsidRDefault="00855820" w:rsidP="00BD36AD">
      <w:pPr>
        <w:spacing w:before="6" w:after="0" w:line="359" w:lineRule="auto"/>
        <w:ind w:left="102" w:right="4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 результаты анализа испытуемых образцов:</w:t>
      </w:r>
    </w:p>
    <w:p w:rsidR="005661C0" w:rsidRPr="000E0324" w:rsidRDefault="00855820" w:rsidP="00BD36AD">
      <w:pPr>
        <w:spacing w:before="6" w:after="0" w:line="359" w:lineRule="auto"/>
        <w:ind w:left="102" w:right="4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состав аналитического цикла:</w:t>
      </w:r>
    </w:p>
    <w:p w:rsidR="005661C0" w:rsidRPr="000E0324" w:rsidRDefault="00855820" w:rsidP="00BD36AD">
      <w:pPr>
        <w:spacing w:before="6" w:after="0" w:line="359" w:lineRule="auto"/>
        <w:ind w:left="102" w:right="42"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таблица с перечислением всех аналитических циклов и исследуемых образцов с указанием дат и результатов;</w:t>
      </w:r>
    </w:p>
    <w:p w:rsidR="005661C0" w:rsidRPr="000E0324" w:rsidRDefault="00855820" w:rsidP="00903CB0">
      <w:pPr>
        <w:spacing w:before="8" w:after="0" w:line="359" w:lineRule="auto"/>
        <w:ind w:left="102" w:right="41"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таблица с перечислением результатов градуировки всех приемлемых аналитических циклов;</w:t>
      </w:r>
    </w:p>
    <w:p w:rsidR="005661C0" w:rsidRPr="000E0324" w:rsidRDefault="00855820" w:rsidP="00903CB0">
      <w:pPr>
        <w:spacing w:before="8"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таблица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перечислением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КК всех приемлемых аналитических циклов; необходимо четко обозначить значения, находящиеся вне критериев приемлемости;</w:t>
      </w:r>
    </w:p>
    <w:p w:rsidR="005661C0" w:rsidRPr="000E0324" w:rsidRDefault="00855820" w:rsidP="00903CB0">
      <w:pPr>
        <w:spacing w:before="7"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забракованные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(идентификационные данные, дата анализа, причины брака);</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ж) отклонения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отклонений, влияние на результат исследования, дополнительные данные);</w:t>
      </w:r>
    </w:p>
    <w:p w:rsidR="005661C0" w:rsidRPr="000E0324" w:rsidRDefault="00855820" w:rsidP="006271E3">
      <w:pPr>
        <w:spacing w:before="4"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з) повторный анализ, за исключением повторного анализа по таким аналитическим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причинам,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забракованный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(таблица</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идентификации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причины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первичные значения и значения, полученные при повторном анализе).</w:t>
      </w:r>
    </w:p>
    <w:p w:rsidR="005661C0" w:rsidRPr="000E0324" w:rsidRDefault="00855820" w:rsidP="00903CB0">
      <w:pPr>
        <w:spacing w:before="4"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105. 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активных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испытанных 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аналитическом отчете в отдельном приложении.</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106. 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исследовании биоэквивалентности необходимо приложить хроматограммы из полных аналитических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чтобы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20 % субъектов, а также соответствующие образцы для КК и градуировочные растворы (стандарты).</w:t>
      </w:r>
    </w:p>
    <w:p w:rsidR="005661C0" w:rsidRPr="000E0324" w:rsidRDefault="00855820" w:rsidP="00903CB0">
      <w:pPr>
        <w:spacing w:before="4" w:after="0" w:line="359"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107.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прочих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 представить репрезентативные хроматограммы. Дополнительные хроматограммы должны быть доступны по запросу.</w:t>
      </w:r>
    </w:p>
    <w:p w:rsidR="006271E3" w:rsidRPr="000E0324" w:rsidRDefault="006271E3" w:rsidP="00903CB0">
      <w:pPr>
        <w:spacing w:after="0" w:line="359" w:lineRule="auto"/>
        <w:jc w:val="both"/>
        <w:rPr>
          <w:rFonts w:ascii="Times New Roman" w:eastAsia="Times New Roman" w:hAnsi="Times New Roman" w:cs="Times New Roman"/>
          <w:sz w:val="24"/>
          <w:szCs w:val="24"/>
          <w:lang w:val="ru-RU"/>
        </w:rPr>
      </w:pPr>
    </w:p>
    <w:p w:rsidR="006271E3" w:rsidRPr="000E0324" w:rsidRDefault="006271E3">
      <w:pP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br w:type="page"/>
      </w:r>
    </w:p>
    <w:p w:rsidR="005661C0" w:rsidRPr="000E0324" w:rsidRDefault="00855820" w:rsidP="00903CB0">
      <w:pPr>
        <w:spacing w:before="66" w:after="0" w:line="240" w:lineRule="auto"/>
        <w:ind w:left="5668" w:right="112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ПРИЛОЖЕНИЕ № 7</w:t>
      </w:r>
    </w:p>
    <w:p w:rsidR="005661C0" w:rsidRPr="000E0324" w:rsidRDefault="00855820" w:rsidP="00903CB0">
      <w:pPr>
        <w:spacing w:after="0" w:line="240" w:lineRule="auto"/>
        <w:ind w:left="4684" w:right="13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 Правилам проведения исследований биоэквивалентности лекарственных препаратов в рамках Евразийского экономического союза</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5661C0" w:rsidP="00903CB0">
      <w:pPr>
        <w:spacing w:before="4" w:after="0" w:line="240" w:lineRule="exact"/>
        <w:rPr>
          <w:rFonts w:ascii="Times New Roman" w:hAnsi="Times New Roman" w:cs="Times New Roman"/>
          <w:sz w:val="24"/>
          <w:szCs w:val="24"/>
          <w:lang w:val="ru-RU"/>
        </w:rPr>
      </w:pPr>
    </w:p>
    <w:p w:rsidR="005661C0" w:rsidRPr="000E0324" w:rsidRDefault="00855820" w:rsidP="00903CB0">
      <w:pPr>
        <w:spacing w:after="0" w:line="240" w:lineRule="auto"/>
        <w:ind w:left="3489" w:right="353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ТРЕБОВАНИЯ</w:t>
      </w:r>
    </w:p>
    <w:p w:rsidR="005661C0" w:rsidRPr="000E0324" w:rsidRDefault="00855820" w:rsidP="00903CB0">
      <w:pPr>
        <w:spacing w:before="3" w:after="0" w:line="237" w:lineRule="auto"/>
        <w:ind w:left="666" w:right="659" w:firstLine="2"/>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b/>
          <w:bCs/>
          <w:sz w:val="24"/>
          <w:szCs w:val="24"/>
          <w:lang w:val="ru-RU"/>
        </w:rPr>
        <w:t xml:space="preserve">к содержанию отчета о проведении исследования биоэквивалентности и аналитического отчета о проведении теста сравнительной кинетики растворения </w:t>
      </w:r>
      <w:r w:rsidRPr="000E0324">
        <w:rPr>
          <w:rFonts w:ascii="Times New Roman" w:eastAsia="Times New Roman" w:hAnsi="Times New Roman" w:cs="Times New Roman"/>
          <w:sz w:val="24"/>
          <w:szCs w:val="24"/>
        </w:rPr>
        <w:t>in</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vitro</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1067" w:right="1060"/>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w:t>
      </w:r>
      <w:r w:rsidRPr="000E0324">
        <w:rPr>
          <w:rFonts w:ascii="Times New Roman" w:eastAsia="Times New Roman" w:hAnsi="Times New Roman" w:cs="Times New Roman"/>
          <w:sz w:val="24"/>
          <w:szCs w:val="24"/>
          <w:lang w:val="ru-RU"/>
        </w:rPr>
        <w:t>. Отчет о проведении исследования биоэквивалентности</w:t>
      </w:r>
    </w:p>
    <w:p w:rsidR="005661C0" w:rsidRPr="000E0324" w:rsidRDefault="005661C0" w:rsidP="00903CB0">
      <w:pPr>
        <w:spacing w:before="13" w:after="0" w:line="200" w:lineRule="exact"/>
        <w:rPr>
          <w:rFonts w:ascii="Times New Roman" w:hAnsi="Times New Roman" w:cs="Times New Roman"/>
          <w:sz w:val="24"/>
          <w:szCs w:val="24"/>
          <w:lang w:val="ru-RU"/>
        </w:rPr>
      </w:pPr>
    </w:p>
    <w:p w:rsidR="005661C0" w:rsidRPr="000E0324" w:rsidRDefault="00855820" w:rsidP="00903CB0">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составлении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настоящем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 учитывать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надлежащей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практики Евразийского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 экономической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комиссией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подготовки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проведении клинического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страницы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содержать идентификационный код и иметь сквозную нумерацию.</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Отчет включает в себя следующие элементы:</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титульная страница, на которой приводятся:</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полное название исследования, отражающее тип исследования, наименования сравниваемых лекарственных препаратов (с указанием лекарственной формы и дозировки), а также условия приема сравниваемых лекарственных препаратов (например, натощак или на фоне прима пищи);</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идентификационный код исследования;</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наименование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исследовательского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центра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контрактной исследовательской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организации,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ответственной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 исследования биоэквивалентности (с указанием фактического адреса);</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спонсоре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указанием его юридического адреса);</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Ф.И.О., должность главного ис</w:t>
      </w:r>
      <w:r w:rsidR="006271E3" w:rsidRPr="000E0324">
        <w:rPr>
          <w:rFonts w:ascii="Times New Roman" w:eastAsia="Times New Roman" w:hAnsi="Times New Roman" w:cs="Times New Roman"/>
          <w:sz w:val="24"/>
          <w:szCs w:val="24"/>
          <w:lang w:val="ru-RU"/>
        </w:rPr>
        <w:t>следователя или исследователей-</w:t>
      </w:r>
      <w:r w:rsidRPr="000E0324">
        <w:rPr>
          <w:rFonts w:ascii="Times New Roman" w:eastAsia="Times New Roman" w:hAnsi="Times New Roman" w:cs="Times New Roman"/>
          <w:sz w:val="24"/>
          <w:szCs w:val="24"/>
          <w:lang w:val="ru-RU"/>
        </w:rPr>
        <w:t>координаторов (при наличии) (с указанием места работы и контактных телефонов);</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представителе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спонсора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числе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контактные данные);</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подписания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названия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даты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более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ранних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наличии);</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указание на выполнение исследований в соответствии с требованиями Правил надлежащей клинической практики Евразийского 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экономической комиссией;</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страница подписей, на которой приводятся:</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название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(согласно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абзацу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второму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подпункта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 настоящего пункта);</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указание на проведение исследования в соответствии со стандартными операционными процедурами исследовательского центра, проводившего исследования;</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должности по основному месту работы, подписи (с указанием даты), Ф.И.О. лиц ответственных, за клиническую и биоаналитическую части исследования;</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синопсис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(краткое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котором приводятся:</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общая информация об исследовании:</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название исследования;</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код исследования;</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Ф.И.О.,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главного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исследователя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исследователей-координаторов (при наличии);</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Ф.И.О., должность соисследователя;</w:t>
      </w:r>
    </w:p>
    <w:p w:rsidR="005661C0" w:rsidRPr="000E0324" w:rsidRDefault="00855820" w:rsidP="00903CB0">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места проведения исследования: наименование, адреса и телефоны организаций, проводящих клиническую, аналитическую и статистическую части исследования;</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наименование и адрес клинико-диагностической лаборатории;</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даты проведения (начала и окончания) клинической, биоаналитической и статистической частей исследования;</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цель исследования;</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дизайн исследования (с указанием дат начала и окончания отмывочных периодов);</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субъекты исследования: общее количество подвергшихся скринингу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 выбывших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субъектов,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полностью выполнивших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статистический анализ, пол, возрастной диапазон, этническая принадлежность;</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информация о сравниваемых лекарственных препаратах:</w:t>
      </w:r>
    </w:p>
    <w:p w:rsidR="005661C0" w:rsidRPr="000E0324" w:rsidRDefault="00855820" w:rsidP="00BD36AD">
      <w:pPr>
        <w:spacing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характеристика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торговое наименование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международное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непатентованное наименование,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дата производства,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истечения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срока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годности,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производитель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организация,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осуществляющая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выпускающий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 (с указанием страны-производителя);</w:t>
      </w:r>
    </w:p>
    <w:p w:rsidR="005661C0" w:rsidRPr="000E0324" w:rsidRDefault="00855820" w:rsidP="00903CB0">
      <w:pPr>
        <w:spacing w:before="21" w:after="0" w:line="360" w:lineRule="auto"/>
        <w:ind w:left="102" w:right="36"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обоснование выбора 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 в 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подразделом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III</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 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рамках Евразийского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 экономической комиссией (далее – Правила);</w:t>
      </w:r>
    </w:p>
    <w:p w:rsidR="005661C0" w:rsidRPr="000E0324" w:rsidRDefault="00855820" w:rsidP="00903CB0">
      <w:pPr>
        <w:spacing w:before="4"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характеристика референтного лекарственного препарата: торговое наименование, международное непатентованное наименование, лекарственная форма, дозировка, номер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 дата производства, дата истечения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срока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годности,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производитель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организация, осуществляющая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выпускающий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 (с указанием страны-производителя);</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обоснование выбора референтного лекарственного препарата в соответствии с подразделом 2 раздела </w:t>
      </w:r>
      <w:r w:rsidRPr="000E0324">
        <w:rPr>
          <w:rFonts w:ascii="Times New Roman" w:eastAsia="Times New Roman" w:hAnsi="Times New Roman" w:cs="Times New Roman"/>
          <w:sz w:val="24"/>
          <w:szCs w:val="24"/>
        </w:rPr>
        <w:t>III</w:t>
      </w:r>
      <w:r w:rsidRPr="000E0324">
        <w:rPr>
          <w:rFonts w:ascii="Times New Roman" w:eastAsia="Times New Roman" w:hAnsi="Times New Roman" w:cs="Times New Roman"/>
          <w:sz w:val="24"/>
          <w:szCs w:val="24"/>
          <w:lang w:val="ru-RU"/>
        </w:rPr>
        <w:t xml:space="preserve"> Правил;</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способ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режим 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объем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жидкости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отмывочный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период</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 периодами исследования;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периоды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 начала и окончания каждого периода;</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 временные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биоматериала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(крови,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мочи, слюны и т. д.);</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 описание биоаналитической методики:</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краткое описание методики выполнения анализов;</w:t>
      </w:r>
    </w:p>
    <w:p w:rsidR="006271E3"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разновидность биологического материала; </w:t>
      </w:r>
    </w:p>
    <w:p w:rsidR="006271E3"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нижний предел количественного определения; </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линейный диапазон;</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параметры для количественной оценки результатов;</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ж) 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фармакодинамических критериев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оценки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обозначений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 параметров следует руководствоваться приложением № 8 к Правилам);</w:t>
      </w:r>
    </w:p>
    <w:p w:rsidR="006271E3"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з) информация о статистическом анализе: </w:t>
      </w:r>
    </w:p>
    <w:p w:rsidR="006271E3"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анализ фармакокинетических показателей; </w:t>
      </w:r>
    </w:p>
    <w:p w:rsidR="006271E3"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критерии биоэквивалентности; </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безопасность;</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 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краткого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таблиц</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рассчитанными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 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(представляются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 дисперсионного анализа (</w:t>
      </w:r>
      <w:r w:rsidRPr="00BD36AD">
        <w:rPr>
          <w:rFonts w:ascii="Times New Roman" w:eastAsia="Times New Roman" w:hAnsi="Times New Roman" w:cs="Times New Roman"/>
          <w:sz w:val="24"/>
          <w:szCs w:val="24"/>
          <w:lang w:val="ru-RU"/>
        </w:rPr>
        <w:t>ANOVA</w:t>
      </w:r>
      <w:r w:rsidRPr="000E0324">
        <w:rPr>
          <w:rFonts w:ascii="Times New Roman" w:eastAsia="Times New Roman" w:hAnsi="Times New Roman" w:cs="Times New Roman"/>
          <w:sz w:val="24"/>
          <w:szCs w:val="24"/>
          <w:lang w:val="ru-RU"/>
        </w:rPr>
        <w:t xml:space="preserve">) для </w:t>
      </w:r>
      <w:r w:rsidRPr="00BD36AD">
        <w:rPr>
          <w:rFonts w:ascii="Times New Roman" w:eastAsia="Times New Roman" w:hAnsi="Times New Roman" w:cs="Times New Roman"/>
          <w:sz w:val="24"/>
          <w:szCs w:val="24"/>
          <w:lang w:val="ru-RU"/>
        </w:rPr>
        <w:t>AUC</w:t>
      </w:r>
      <w:r w:rsidRPr="000E0324">
        <w:rPr>
          <w:rFonts w:ascii="Times New Roman" w:eastAsia="Times New Roman" w:hAnsi="Times New Roman" w:cs="Times New Roman"/>
          <w:sz w:val="24"/>
          <w:szCs w:val="24"/>
          <w:lang w:val="ru-RU"/>
        </w:rPr>
        <w:t xml:space="preserve"> и </w:t>
      </w:r>
      <w:r w:rsidRPr="00BD36AD">
        <w:rPr>
          <w:rFonts w:ascii="Times New Roman" w:eastAsia="Times New Roman" w:hAnsi="Times New Roman" w:cs="Times New Roman"/>
          <w:sz w:val="24"/>
          <w:szCs w:val="24"/>
          <w:lang w:val="ru-RU"/>
        </w:rPr>
        <w:t xml:space="preserve">Cmax </w:t>
      </w:r>
      <w:r w:rsidRPr="000E0324">
        <w:rPr>
          <w:rFonts w:ascii="Times New Roman" w:eastAsia="Times New Roman" w:hAnsi="Times New Roman" w:cs="Times New Roman"/>
          <w:sz w:val="24"/>
          <w:szCs w:val="24"/>
          <w:lang w:val="ru-RU"/>
        </w:rPr>
        <w:t>(отношение средних геометрических,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90 %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доверительный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интервал,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коэффициенты внутрииндивидуальной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вариабельности)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усредненный фармакокинетический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 лекарственных препаратов в линейном и лог-линейном преобразовании, другие статистические данные, если применимо);</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 информация об обсуждении и выводах;</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содержание отчета (со сквозной нумерацией страниц);</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 перечень сокращений и используемых понятий;</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 информация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соблюдении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аспектов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 исследования: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состав независимого этического комитета;</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разрешительные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(информация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протокола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заседания независимого этического комитета);</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 информация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исследователях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административной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структуре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(представляется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полная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информация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исследователях (</w:t>
      </w:r>
      <w:r w:rsidRPr="00BD36AD">
        <w:rPr>
          <w:rFonts w:ascii="Times New Roman" w:eastAsia="Times New Roman" w:hAnsi="Times New Roman" w:cs="Times New Roman"/>
          <w:sz w:val="24"/>
          <w:szCs w:val="24"/>
          <w:lang w:val="ru-RU"/>
        </w:rPr>
        <w:t>curriculum</w:t>
      </w:r>
      <w:r w:rsidRPr="000E0324">
        <w:rPr>
          <w:rFonts w:ascii="Times New Roman" w:eastAsia="Times New Roman" w:hAnsi="Times New Roman" w:cs="Times New Roman"/>
          <w:sz w:val="24"/>
          <w:szCs w:val="24"/>
          <w:lang w:val="ru-RU"/>
        </w:rPr>
        <w:t xml:space="preserve"> </w:t>
      </w:r>
      <w:r w:rsidRPr="00BD36AD">
        <w:rPr>
          <w:rFonts w:ascii="Times New Roman" w:eastAsia="Times New Roman" w:hAnsi="Times New Roman" w:cs="Times New Roman"/>
          <w:sz w:val="24"/>
          <w:szCs w:val="24"/>
          <w:lang w:val="ru-RU"/>
        </w:rPr>
        <w:t>vitae</w:t>
      </w:r>
      <w:r w:rsidRPr="000E0324">
        <w:rPr>
          <w:rFonts w:ascii="Times New Roman" w:eastAsia="Times New Roman" w:hAnsi="Times New Roman" w:cs="Times New Roman"/>
          <w:sz w:val="24"/>
          <w:szCs w:val="24"/>
          <w:lang w:val="ru-RU"/>
        </w:rPr>
        <w:t>) и месте проведения исследований (с указанием адреса и номера телефона);</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 описание клинической части исследования: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титульная страница, на которой приводится: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название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(согласно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абзацу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второму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подпункта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 настоящего пункта);</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даты начала и окончания клинической фазы исследования;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цель исследования;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введение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(информация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описание, химическая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(структурная)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формула,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фармакодинамические данные);</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дизайн исследования;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 выбор исследуемой популяции:</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критерии отбора в исследование: клиническая оценка – анамнез и врачебный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осмотр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форме таблицы с указанием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индивидуальных данных), клинические лабораторные тесты (в форме таблицы с указанием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индивидуальных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включения, критерии невключения;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критерии прекращения исследования или исключения субъектов из исследования;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метод распределения субъектов по группам исследования;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индивидуальные данные: пол, возраст, вес, рост, индекс массы тела (с указанием индивидуальных значений показателей для всех субъектов исследования и их описательной статистикой);</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 информация о лекарственных препаратах и их приеме:</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 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торговое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наименование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международное непатентованное наименование, дозировка, лекарственная форма, номер 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истечения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срока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годности,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наименование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адрес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производителя,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принимаемая субъектами доза и путь введения;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подтверждение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соблюдения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размера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промышленной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серии исследуемого лекарственного препарата в соответствии с подразделом 2 раздела </w:t>
      </w:r>
      <w:r w:rsidRPr="00BD36AD">
        <w:rPr>
          <w:rFonts w:ascii="Times New Roman" w:eastAsia="Times New Roman" w:hAnsi="Times New Roman" w:cs="Times New Roman"/>
          <w:sz w:val="24"/>
          <w:szCs w:val="24"/>
          <w:lang w:val="ru-RU"/>
        </w:rPr>
        <w:t>III</w:t>
      </w:r>
      <w:r w:rsidRPr="000E0324">
        <w:rPr>
          <w:rFonts w:ascii="Times New Roman" w:eastAsia="Times New Roman" w:hAnsi="Times New Roman" w:cs="Times New Roman"/>
          <w:sz w:val="24"/>
          <w:szCs w:val="24"/>
          <w:lang w:val="ru-RU"/>
        </w:rPr>
        <w:t xml:space="preserve"> Правил и требованиями к валидации процесса производства, указанными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надлежащей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производственной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практики Евразийского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Евразийской экономической комиссией;</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полный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 лекарственного препарата, а также состав референтного лекарственного препарата;</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сертификаты анализа исследуемого и референтного лекарственных препаратов (могут быть представлены спонсором в виде отдельных документов);</w:t>
      </w:r>
    </w:p>
    <w:p w:rsidR="005661C0" w:rsidRPr="000E0324" w:rsidRDefault="00855820" w:rsidP="00903CB0">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идентификация лекарственных препаратов (маркировка и поставка исследуемых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исследовательский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центр, сопроводительные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документы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сопроводительная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информация)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с учетом подраздела 2 раздела </w:t>
      </w:r>
      <w:r w:rsidRPr="00BD36AD">
        <w:rPr>
          <w:rFonts w:ascii="Times New Roman" w:eastAsia="Times New Roman" w:hAnsi="Times New Roman" w:cs="Times New Roman"/>
          <w:sz w:val="24"/>
          <w:szCs w:val="24"/>
          <w:lang w:val="ru-RU"/>
        </w:rPr>
        <w:t>III</w:t>
      </w:r>
      <w:r w:rsidRPr="000E0324">
        <w:rPr>
          <w:rFonts w:ascii="Times New Roman" w:eastAsia="Times New Roman" w:hAnsi="Times New Roman" w:cs="Times New Roman"/>
          <w:sz w:val="24"/>
          <w:szCs w:val="24"/>
          <w:lang w:val="ru-RU"/>
        </w:rPr>
        <w:t xml:space="preserve"> Правил;</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учет исследуемого и референтного лекарственных препаратов в ходе исследования;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ж) информация о применении лекарственного препарата:</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выбор дозировки лекарственного препарата в исследовании;</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выбор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каждого субъекта (дата, время, </w:t>
      </w:r>
      <w:r w:rsidRPr="000E0324">
        <w:rPr>
          <w:rFonts w:ascii="Times New Roman" w:eastAsia="Times New Roman" w:hAnsi="Times New Roman" w:cs="Times New Roman"/>
          <w:sz w:val="24"/>
          <w:szCs w:val="24"/>
          <w:lang w:val="ru-RU"/>
        </w:rPr>
        <w:lastRenderedPageBreak/>
        <w:t>количество воды, пища, ограничения, физическая активность);</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предшествующая и сопутствующая терапия;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рандомизация;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отмывочный период;</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таблицы,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индивидуальные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график</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приема лекарственных препаратов для всех субъектов исследования;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з) оценка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безопасности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(перечисление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необходимых лабораторных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инструментальных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требованиями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Правил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надлежащей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клинической практики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Евразийского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экономического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союза,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утверждаемых Евразийской экономической комиссией, тест на беременность);</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 нежелательные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явления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процедуры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оказания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медицинской помощи: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детализированное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возникновения нежелательных явлений, классификация, причинно-следственная связь с приемом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регистрации, длительность,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принятые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сопутствующих лекарственных препаратов, влияние на проведение исследования и т. п.;</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 отклонения от протокола (если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таковые были) и их влияние на клинические и фармакокинетические результаты;</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л) порядок и график отбора образцов (в форме таблиц с указанием планируемого и реального времени отбора образцов для всех субъектов исследования);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м) сбор,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приготовление,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транспортировка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 биологического материала;</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 биоаналитический отчет и отчет о валидации биоаналитической 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составлении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следует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выполнять требования приложения № 6 к Правилам);</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 статистический отчет:</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титульная страница (с указанием названия исследования (согласно абзацу второму подпункта 1 настоящего пункта), наименование и адрес организации,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проводящей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статистическую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часть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даты начала и окончания статистической части исследования);</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введение (информация о лекарственном препарате: описание, химическая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(структурная)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формула,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фармакокинетика, фармакодинамика);</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цель и задачи статистической части исследования (кратко);</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описание фармакокинетического анализа, идентификация используемых статистических программ;</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построение фармакокинетической кривой;</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фармакокинетическое уравнение и его анализ, используемые программы расчета;</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определение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базовых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w w:val="99"/>
          <w:position w:val="-4"/>
          <w:sz w:val="24"/>
          <w:szCs w:val="24"/>
          <w:lang w:val="ru-RU"/>
        </w:rPr>
        <w:t>(0-</w:t>
      </w:r>
      <w:r w:rsidRPr="000E0324">
        <w:rPr>
          <w:rFonts w:ascii="Times New Roman" w:eastAsia="Times New Roman" w:hAnsi="Times New Roman" w:cs="Times New Roman"/>
          <w:w w:val="99"/>
          <w:position w:val="-4"/>
          <w:sz w:val="24"/>
          <w:szCs w:val="24"/>
        </w:rPr>
        <w:t>t</w:t>
      </w:r>
      <w:r w:rsidRPr="000E0324">
        <w:rPr>
          <w:rFonts w:ascii="Times New Roman" w:eastAsia="Times New Roman" w:hAnsi="Times New Roman" w:cs="Times New Roman"/>
          <w:w w:val="99"/>
          <w:position w:val="-4"/>
          <w:sz w:val="24"/>
          <w:szCs w:val="24"/>
          <w:lang w:val="ru-RU"/>
        </w:rPr>
        <w:t>)</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4"/>
          <w:sz w:val="24"/>
          <w:szCs w:val="24"/>
          <w:lang w:val="ru-RU"/>
        </w:rPr>
        <w:t xml:space="preserve">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 xml:space="preserve">и </w:t>
      </w:r>
      <w:r w:rsidRPr="000E0324">
        <w:rPr>
          <w:rFonts w:ascii="Times New Roman" w:eastAsia="Times New Roman" w:hAnsi="Times New Roman" w:cs="Times New Roman"/>
          <w:sz w:val="24"/>
          <w:szCs w:val="24"/>
        </w:rPr>
        <w:t>t</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r w:rsidRPr="000E0324">
        <w:rPr>
          <w:rFonts w:ascii="Times New Roman" w:eastAsia="Times New Roman" w:hAnsi="Times New Roman" w:cs="Times New Roman"/>
          <w:spacing w:val="-3"/>
          <w:sz w:val="24"/>
          <w:szCs w:val="24"/>
          <w:lang w:val="ru-RU"/>
        </w:rPr>
        <w:t xml:space="preserve"> </w:t>
      </w:r>
      <w:r w:rsidRPr="000E0324">
        <w:rPr>
          <w:rFonts w:ascii="Times New Roman" w:eastAsia="Times New Roman" w:hAnsi="Times New Roman" w:cs="Times New Roman"/>
          <w:sz w:val="24"/>
          <w:szCs w:val="24"/>
          <w:lang w:val="ru-RU"/>
        </w:rPr>
        <w:t>и методология их расчетов;</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проверка гипотезы биоэквивалентности;</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описание процедуры статистической обработки данных, проверка нулевой и альтернативной гипотез;</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результаты оценки биоэквивалентности и их интерпретация для референтного и исследуемого лекарственных препаратов с расчетом </w:t>
      </w:r>
      <w:r w:rsidRPr="00BD36AD">
        <w:rPr>
          <w:rFonts w:ascii="Times New Roman" w:eastAsia="Times New Roman" w:hAnsi="Times New Roman" w:cs="Times New Roman"/>
          <w:sz w:val="24"/>
          <w:szCs w:val="24"/>
          <w:lang w:val="ru-RU"/>
        </w:rPr>
        <w:t>Cmax</w:t>
      </w:r>
      <w:r w:rsidRPr="000E0324">
        <w:rPr>
          <w:rFonts w:ascii="Times New Roman" w:eastAsia="Times New Roman" w:hAnsi="Times New Roman" w:cs="Times New Roman"/>
          <w:sz w:val="24"/>
          <w:szCs w:val="24"/>
          <w:lang w:val="ru-RU"/>
        </w:rPr>
        <w:t>,</w:t>
      </w:r>
      <w:r w:rsidRPr="00BD36AD">
        <w:rPr>
          <w:rFonts w:ascii="Times New Roman" w:eastAsia="Times New Roman" w:hAnsi="Times New Roman" w:cs="Times New Roman"/>
          <w:sz w:val="24"/>
          <w:szCs w:val="24"/>
          <w:lang w:val="ru-RU"/>
        </w:rPr>
        <w:t xml:space="preserve"> tmax</w:t>
      </w:r>
      <w:r w:rsidRPr="000E0324">
        <w:rPr>
          <w:rFonts w:ascii="Times New Roman" w:eastAsia="Times New Roman" w:hAnsi="Times New Roman" w:cs="Times New Roman"/>
          <w:sz w:val="24"/>
          <w:szCs w:val="24"/>
          <w:lang w:val="ru-RU"/>
        </w:rPr>
        <w:t>,</w:t>
      </w:r>
      <w:r w:rsidRPr="00BD36AD">
        <w:rPr>
          <w:rFonts w:ascii="Times New Roman" w:eastAsia="Times New Roman" w:hAnsi="Times New Roman" w:cs="Times New Roman"/>
          <w:sz w:val="24"/>
          <w:szCs w:val="24"/>
          <w:lang w:val="ru-RU"/>
        </w:rPr>
        <w:t xml:space="preserve"> t½</w:t>
      </w:r>
      <w:r w:rsidRPr="000E0324">
        <w:rPr>
          <w:rFonts w:ascii="Times New Roman" w:eastAsia="Times New Roman" w:hAnsi="Times New Roman" w:cs="Times New Roman"/>
          <w:sz w:val="24"/>
          <w:szCs w:val="24"/>
          <w:lang w:val="ru-RU"/>
        </w:rPr>
        <w:t>,</w:t>
      </w:r>
      <w:r w:rsidRPr="00BD36AD">
        <w:rPr>
          <w:rFonts w:ascii="Times New Roman" w:eastAsia="Times New Roman" w:hAnsi="Times New Roman" w:cs="Times New Roman"/>
          <w:sz w:val="24"/>
          <w:szCs w:val="24"/>
          <w:lang w:val="ru-RU"/>
        </w:rPr>
        <w:t xml:space="preserve"> AUC(0-t)</w:t>
      </w:r>
      <w:r w:rsidRPr="000E0324">
        <w:rPr>
          <w:rFonts w:ascii="Times New Roman" w:eastAsia="Times New Roman" w:hAnsi="Times New Roman" w:cs="Times New Roman"/>
          <w:sz w:val="24"/>
          <w:szCs w:val="24"/>
          <w:lang w:val="ru-RU"/>
        </w:rPr>
        <w:t>,</w:t>
      </w:r>
      <w:r w:rsidRPr="00BD36AD">
        <w:rPr>
          <w:rFonts w:ascii="Times New Roman" w:eastAsia="Times New Roman" w:hAnsi="Times New Roman" w:cs="Times New Roman"/>
          <w:sz w:val="24"/>
          <w:szCs w:val="24"/>
          <w:lang w:val="ru-RU"/>
        </w:rPr>
        <w:t xml:space="preserve"> AUC(0-∞) </w:t>
      </w:r>
      <w:r w:rsidRPr="000E0324">
        <w:rPr>
          <w:rFonts w:ascii="Times New Roman" w:eastAsia="Times New Roman" w:hAnsi="Times New Roman" w:cs="Times New Roman"/>
          <w:sz w:val="24"/>
          <w:szCs w:val="24"/>
          <w:lang w:val="ru-RU"/>
        </w:rPr>
        <w:t>(в форме таблицы);</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статистический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показателей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эквивалентности</w:t>
      </w:r>
      <w:r w:rsidR="006271E3"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идентификация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используемых статистических программ;</w:t>
      </w:r>
    </w:p>
    <w:p w:rsidR="005661C0" w:rsidRPr="000E0324" w:rsidRDefault="00855820" w:rsidP="00BD36AD">
      <w:pPr>
        <w:spacing w:before="7" w:after="0" w:line="359"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таблицы,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дисперсионного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 показателей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биодоступности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t</w:t>
      </w:r>
      <w:r w:rsidRPr="000E0324">
        <w:rPr>
          <w:rFonts w:ascii="Times New Roman" w:eastAsia="Times New Roman" w:hAnsi="Times New Roman" w:cs="Times New Roman"/>
          <w:position w:val="-4"/>
          <w:sz w:val="24"/>
          <w:szCs w:val="24"/>
          <w:lang w:val="ru-RU"/>
        </w:rPr>
        <w:t>)</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00903CB0" w:rsidRPr="000E0324">
        <w:rPr>
          <w:rFonts w:ascii="Times New Roman" w:eastAsia="Times New Roman" w:hAnsi="Times New Roman" w:cs="Times New Roman"/>
          <w:position w:val="-4"/>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показателей биоэквивалентности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f</w:t>
      </w:r>
      <w:r w:rsidRPr="000E0324">
        <w:rPr>
          <w:rFonts w:ascii="Times New Roman" w:eastAsia="Times New Roman" w:hAnsi="Times New Roman" w:cs="Times New Roman"/>
          <w:i/>
          <w:sz w:val="24"/>
          <w:szCs w:val="24"/>
          <w:lang w:val="ru-RU"/>
        </w:rPr>
        <w:t>''</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f</w:t>
      </w:r>
      <w:r w:rsidRPr="000E0324">
        <w:rPr>
          <w:rFonts w:ascii="Times New Roman" w:eastAsia="Times New Roman" w:hAnsi="Times New Roman" w:cs="Times New Roman"/>
          <w:i/>
          <w:sz w:val="24"/>
          <w:szCs w:val="24"/>
          <w:lang w:val="ru-RU"/>
        </w:rPr>
        <w:t>'</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i/>
          <w:sz w:val="24"/>
          <w:szCs w:val="24"/>
        </w:rPr>
        <w:t>f</w:t>
      </w:r>
      <w:r w:rsidRPr="000E0324">
        <w:rPr>
          <w:rFonts w:ascii="Times New Roman" w:eastAsia="Times New Roman" w:hAnsi="Times New Roman" w:cs="Times New Roman"/>
          <w:sz w:val="24"/>
          <w:szCs w:val="24"/>
          <w:lang w:val="ru-RU"/>
        </w:rPr>
        <w:t>.</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 дополнительные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эквивалентности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отдельных лекарственных форм;</w:t>
      </w:r>
    </w:p>
    <w:p w:rsidR="005661C0" w:rsidRPr="000E0324" w:rsidRDefault="00855820" w:rsidP="00903CB0">
      <w:pPr>
        <w:spacing w:before="10"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анализ мощности исследования (с представлением результатов по данным </w:t>
      </w:r>
      <w:r w:rsidRPr="000E0324">
        <w:rPr>
          <w:rFonts w:ascii="Times New Roman" w:eastAsia="Times New Roman" w:hAnsi="Times New Roman" w:cs="Times New Roman"/>
          <w:sz w:val="24"/>
          <w:szCs w:val="24"/>
        </w:rPr>
        <w:t>C</w:t>
      </w:r>
      <w:r w:rsidRPr="000E0324">
        <w:rPr>
          <w:rFonts w:ascii="Times New Roman" w:eastAsia="Times New Roman" w:hAnsi="Times New Roman" w:cs="Times New Roman"/>
          <w:position w:val="-4"/>
          <w:sz w:val="24"/>
          <w:szCs w:val="24"/>
        </w:rPr>
        <w:t>max</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 xml:space="preserve">и </w:t>
      </w:r>
      <w:r w:rsidRPr="000E0324">
        <w:rPr>
          <w:rFonts w:ascii="Times New Roman" w:eastAsia="Times New Roman" w:hAnsi="Times New Roman" w:cs="Times New Roman"/>
          <w:sz w:val="24"/>
          <w:szCs w:val="24"/>
        </w:rPr>
        <w:t>AUC</w:t>
      </w:r>
      <w:r w:rsidRPr="000E0324">
        <w:rPr>
          <w:rFonts w:ascii="Times New Roman" w:eastAsia="Times New Roman" w:hAnsi="Times New Roman" w:cs="Times New Roman"/>
          <w:position w:val="-4"/>
          <w:sz w:val="24"/>
          <w:szCs w:val="24"/>
          <w:lang w:val="ru-RU"/>
        </w:rPr>
        <w:t>(0-</w:t>
      </w:r>
      <w:r w:rsidRPr="000E0324">
        <w:rPr>
          <w:rFonts w:ascii="Times New Roman" w:eastAsia="Times New Roman" w:hAnsi="Times New Roman" w:cs="Times New Roman"/>
          <w:position w:val="-4"/>
          <w:sz w:val="24"/>
          <w:szCs w:val="24"/>
        </w:rPr>
        <w:t>t</w:t>
      </w:r>
      <w:r w:rsidRPr="000E0324">
        <w:rPr>
          <w:rFonts w:ascii="Times New Roman" w:eastAsia="Times New Roman" w:hAnsi="Times New Roman" w:cs="Times New Roman"/>
          <w:position w:val="-4"/>
          <w:sz w:val="24"/>
          <w:szCs w:val="24"/>
          <w:lang w:val="ru-RU"/>
        </w:rPr>
        <w:t>)</w:t>
      </w:r>
      <w:r w:rsidRPr="000E0324">
        <w:rPr>
          <w:rFonts w:ascii="Times New Roman" w:eastAsia="Times New Roman" w:hAnsi="Times New Roman" w:cs="Times New Roman"/>
          <w:spacing w:val="44"/>
          <w:position w:val="-4"/>
          <w:sz w:val="24"/>
          <w:szCs w:val="24"/>
          <w:lang w:val="ru-RU"/>
        </w:rPr>
        <w:t xml:space="preserve"> </w:t>
      </w:r>
      <w:r w:rsidRPr="000E0324">
        <w:rPr>
          <w:rFonts w:ascii="Times New Roman" w:eastAsia="Times New Roman" w:hAnsi="Times New Roman" w:cs="Times New Roman"/>
          <w:sz w:val="24"/>
          <w:szCs w:val="24"/>
          <w:lang w:val="ru-RU"/>
        </w:rPr>
        <w:t>в форме таблицы);</w:t>
      </w:r>
    </w:p>
    <w:p w:rsidR="005661C0" w:rsidRPr="000E0324" w:rsidRDefault="00855820" w:rsidP="00BD36AD">
      <w:pPr>
        <w:spacing w:before="10"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выводы и заключение;</w:t>
      </w:r>
    </w:p>
    <w:p w:rsidR="005661C0" w:rsidRPr="000E0324" w:rsidRDefault="00855820" w:rsidP="00BD36AD">
      <w:pPr>
        <w:spacing w:before="10"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список литературы;</w:t>
      </w:r>
    </w:p>
    <w:p w:rsidR="005661C0" w:rsidRPr="000E0324" w:rsidRDefault="00855820" w:rsidP="00BD36AD">
      <w:pPr>
        <w:spacing w:before="10"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 приложения:</w:t>
      </w:r>
    </w:p>
    <w:p w:rsidR="005661C0" w:rsidRPr="000E0324" w:rsidRDefault="00855820" w:rsidP="00BD36AD">
      <w:pPr>
        <w:spacing w:before="10"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индивидуальные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профили, а также суммарные профили референтного и исследуемого лекарственных препаратов в непреобразованных координатах;</w:t>
      </w:r>
    </w:p>
    <w:p w:rsidR="005661C0" w:rsidRPr="000E0324" w:rsidRDefault="00855820" w:rsidP="00903CB0">
      <w:pPr>
        <w:spacing w:before="4" w:after="0" w:line="359" w:lineRule="auto"/>
        <w:ind w:left="102" w:right="40"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индивидуальные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профили, а также суммарные профили референтного и исследуемого лекарственных препаратов в логарифмических координатах;</w:t>
      </w:r>
    </w:p>
    <w:p w:rsidR="005661C0" w:rsidRPr="000E0324" w:rsidRDefault="00855820" w:rsidP="00903CB0">
      <w:pPr>
        <w:spacing w:before="7" w:after="0" w:line="360" w:lineRule="auto"/>
        <w:ind w:left="102" w:right="37"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таблицы индивидуальных и средних значений концентраций, фармакокинетических параметров и дисперсионного анализа показателей фармакокинетики референтного и исследуемого лекарственных препаратов.</w:t>
      </w:r>
    </w:p>
    <w:p w:rsidR="005661C0" w:rsidRPr="000E0324" w:rsidRDefault="00855820" w:rsidP="00903CB0">
      <w:pPr>
        <w:spacing w:before="5" w:after="0" w:line="360" w:lineRule="auto"/>
        <w:ind w:left="102" w:right="38"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представлен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бумажном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электронном носителях.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Любая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информация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быть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доступна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запросу. Индивидуальные значения концентраций референтного и исследуемого 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биологических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жидкостях,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также полученные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фармакокинетические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показатели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всем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этапам исследования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представляются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электронном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таблиц </w:t>
      </w:r>
      <w:r w:rsidRPr="000E0324">
        <w:rPr>
          <w:rFonts w:ascii="Times New Roman" w:eastAsia="Times New Roman" w:hAnsi="Times New Roman" w:cs="Times New Roman"/>
          <w:sz w:val="24"/>
          <w:szCs w:val="24"/>
        </w:rPr>
        <w:t>MS</w:t>
      </w:r>
      <w:r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rPr>
        <w:t>Excel</w:t>
      </w:r>
      <w:r w:rsidRPr="000E0324">
        <w:rPr>
          <w:rFonts w:ascii="Times New Roman" w:eastAsia="Times New Roman" w:hAnsi="Times New Roman" w:cs="Times New Roman"/>
          <w:sz w:val="24"/>
          <w:szCs w:val="24"/>
          <w:lang w:val="ru-RU"/>
        </w:rPr>
        <w:t xml:space="preserve"> или иных, совместимых с данным редактором.</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344" w:lineRule="exact"/>
        <w:ind w:left="2362" w:right="1885" w:hanging="420"/>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rPr>
        <w:t>II</w:t>
      </w:r>
      <w:r w:rsidRPr="000E0324">
        <w:rPr>
          <w:rFonts w:ascii="Times New Roman" w:eastAsia="Times New Roman" w:hAnsi="Times New Roman" w:cs="Times New Roman"/>
          <w:sz w:val="24"/>
          <w:szCs w:val="24"/>
          <w:lang w:val="ru-RU"/>
        </w:rPr>
        <w:t>. Аналитический отчет о проведении теста сравнительной кинетики растворения</w:t>
      </w: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03407C">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Аналитический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теста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сравнительной кинетики растворения (далее соответственно – отчет, ТСКР) включается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раздел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3.2.</w:t>
      </w:r>
      <w:r w:rsidRPr="000E0324">
        <w:rPr>
          <w:rFonts w:ascii="Times New Roman" w:eastAsia="Times New Roman" w:hAnsi="Times New Roman" w:cs="Times New Roman"/>
          <w:sz w:val="24"/>
          <w:szCs w:val="24"/>
        </w:rPr>
        <w:t>P</w:t>
      </w:r>
      <w:r w:rsidRPr="000E0324">
        <w:rPr>
          <w:rFonts w:ascii="Times New Roman" w:eastAsia="Times New Roman" w:hAnsi="Times New Roman" w:cs="Times New Roman"/>
          <w:sz w:val="24"/>
          <w:szCs w:val="24"/>
          <w:lang w:val="ru-RU"/>
        </w:rPr>
        <w:t>.2</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«Фармацевтическая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разработка»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модуля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3 регистрационного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досье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 Правилами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регистрации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экспертизы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средств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03407C"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медицинского применения, </w:t>
      </w:r>
      <w:r w:rsidRPr="000E0324">
        <w:rPr>
          <w:rFonts w:ascii="Times New Roman" w:eastAsia="Times New Roman" w:hAnsi="Times New Roman" w:cs="Times New Roman"/>
          <w:sz w:val="24"/>
          <w:szCs w:val="24"/>
          <w:lang w:val="ru-RU"/>
        </w:rPr>
        <w:lastRenderedPageBreak/>
        <w:t>утверждаемыми Евразийской экономической комиссией.</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 Отчет включает в себя следующие элементы:</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 титульная страница, на которой приводятся:</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название исследования;</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наименование и адрес организации, проводящей аналитическую часть исследования;</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даты начала и окончания проведения ТСКР;</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 содержание отчета;</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3) страница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подписей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Ф.И.О.,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должностей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основному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работы,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подписей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лиц, ответственных за проведение ТСКР);</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4) перечень сокращений и используемых понятий;</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5) информация о материалах и оборудовании;</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6) информация о сравниваемых лекарственных препаратах:</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характеристика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торговое наименование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(если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применимо),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международное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непатентованное наименование,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дата производства,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истечения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срока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годности,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производитель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организация,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осуществляющая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выпускающий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 (с указанием страны-производителя);</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характеристика референтного лекарственного препарата: торговое наименование,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номер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дата производства,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истечения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срока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годности,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хранения, производитель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организация,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осуществляющая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выпускающий контроль качества (с указанием страны-производителя);</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7) информация об аналитическом стандартном образце, в которой приводятся наименование, производитель, количественное содержание, номер серии, срок годности (повторного испытания);</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8) информация о реактивах и материалах;</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9) информация об основном и вспомогательном оборудовании;</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10) условия проведения ТСКР:</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выбор,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краткое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 проведения ТСКР;</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условия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ТСКР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(тип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аппарата,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вращения, температура среды, объем среды, временные точки, количество единиц препарата для растворения, помещаемых в сосуд, число единиц лекарственного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используемые</w:t>
      </w:r>
      <w:r w:rsidR="0003407C"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«синкеры»,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процедура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процедура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восполнения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среды растворения);</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11) информация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маркировке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проведении исследований;</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12) 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(возможна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перекрестная ссылка на другие разделы регистрационного досье или фармакопейную методику,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нижеперечисленные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сведения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допускается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 приводить):</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таблицы,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краткий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обзор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В случае использования </w:t>
      </w:r>
      <w:r w:rsidRPr="000E0324">
        <w:rPr>
          <w:rFonts w:ascii="Times New Roman" w:eastAsia="Times New Roman" w:hAnsi="Times New Roman" w:cs="Times New Roman"/>
          <w:sz w:val="24"/>
          <w:szCs w:val="24"/>
          <w:lang w:val="ru-RU"/>
        </w:rPr>
        <w:lastRenderedPageBreak/>
        <w:t>хроматографических методов приводятся условия хроматографического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подвижная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тип</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колонки (предколонки),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потока,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колонки,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температура автосамплера,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объем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вводимой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детектор,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параметры детектирования,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линейный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нижний предел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градуировочные</w:t>
      </w:r>
      <w:r w:rsidR="0003407C"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концентрация), способ построения и тип градуировочной зависимости;</w:t>
      </w:r>
    </w:p>
    <w:p w:rsidR="0003407C"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приготовление исходного градуировочного раствора; </w:t>
      </w:r>
    </w:p>
    <w:p w:rsidR="0003407C"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приготовление исходного раствора для контроля качества; </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приготовление сред растворения;</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приготовление раствора плацебо;</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приготовление рабочих градуировочных растворов;</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приготовление рабочих растворов для контроля качества;</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13) 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(дата, идентификация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рандомизация исследуемых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Pr="000E0324">
        <w:rPr>
          <w:rFonts w:ascii="Times New Roman" w:eastAsia="Times New Roman" w:hAnsi="Times New Roman" w:cs="Times New Roman"/>
          <w:spacing w:val="75"/>
          <w:sz w:val="24"/>
          <w:szCs w:val="24"/>
          <w:lang w:val="ru-RU"/>
        </w:rPr>
        <w:t xml:space="preserve"> </w:t>
      </w:r>
      <w:r w:rsidRPr="000E0324">
        <w:rPr>
          <w:rFonts w:ascii="Times New Roman" w:eastAsia="Times New Roman" w:hAnsi="Times New Roman" w:cs="Times New Roman"/>
          <w:sz w:val="24"/>
          <w:szCs w:val="24"/>
          <w:lang w:val="ru-RU"/>
        </w:rPr>
        <w:t>контроля качества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сериях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(циклах),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 аналитических серий (циклов), таблицы, включающие результаты);</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14) 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обработки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идентификации программных средств;</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15) краткое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описание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используемой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аналитической методики;</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16) результаты проведения ТСКР:</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сводные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таблицы,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содержащие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высвобождения 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исследуемого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лекарственных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препаратов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каждой временной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точке,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каждой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единицы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дозирования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референтного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исследуемого лекарственных препаратов и сред растворения, с расчетом средних значений и коэффициентов вариации степени высвобождения в каждой временной точке;</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графические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изображения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профилей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высвобождения действующего вещества из референтного и исследуемого лекарственных препаратов;</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отклонения, принятые меры, их обоснование;</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 xml:space="preserve">фактор сходимости </w:t>
      </w:r>
      <w:r w:rsidRPr="00BD36AD">
        <w:rPr>
          <w:rFonts w:ascii="Times New Roman" w:eastAsia="Times New Roman" w:hAnsi="Times New Roman" w:cs="Times New Roman"/>
          <w:sz w:val="24"/>
          <w:szCs w:val="24"/>
          <w:lang w:val="ru-RU"/>
        </w:rPr>
        <w:t xml:space="preserve">f2 </w:t>
      </w:r>
      <w:r w:rsidRPr="000E0324">
        <w:rPr>
          <w:rFonts w:ascii="Times New Roman" w:eastAsia="Times New Roman" w:hAnsi="Times New Roman" w:cs="Times New Roman"/>
          <w:sz w:val="24"/>
          <w:szCs w:val="24"/>
          <w:lang w:val="ru-RU"/>
        </w:rPr>
        <w:t>и границы приемлемости;</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17) выводы и заключение;</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18) литература,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условий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проведения</w:t>
      </w:r>
      <w:r w:rsidR="0003407C"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ТСКР и разработки аналитической методики;</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19) приложения:</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программа (протокол) проведения ТСКР;</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репрезентативные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хроматограммы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первичные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03407C"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 количестве не менее 20 % от числа выполненных анализов;</w:t>
      </w:r>
    </w:p>
    <w:p w:rsidR="005661C0" w:rsidRPr="000E0324" w:rsidRDefault="00855820" w:rsidP="00903CB0">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сертификаты анализа исследуемого и референтного лекарственных препаратов;</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20) отчет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проведении ТСКР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 xml:space="preserve">(возможна </w:t>
      </w:r>
      <w:r w:rsidRPr="000E0324">
        <w:rPr>
          <w:rFonts w:ascii="Times New Roman" w:eastAsia="Times New Roman" w:hAnsi="Times New Roman" w:cs="Times New Roman"/>
          <w:sz w:val="24"/>
          <w:szCs w:val="24"/>
          <w:lang w:val="ru-RU"/>
        </w:rPr>
        <w:lastRenderedPageBreak/>
        <w:t>перекрестная ссылка на другие разделы регистрационного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досье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фармакопейную</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тогда нижеперечисленные сведения допускается не приводить):</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а) титульная страница, на которой приводятся:</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название исследования;</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наименование и адрес организации, проводящей исследование;</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даты начала и окончания валидации аналитической методики при проведении ТСКР;</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б) содержание отчета;</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в) страница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подписей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Ф.И.О.,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должностей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 основному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месту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работы,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подписей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указанием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лиц, ответственных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за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проведение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методики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 проведении ТСКР);</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г) перечень сокращений и используемых понятий;</w:t>
      </w:r>
    </w:p>
    <w:p w:rsidR="005661C0" w:rsidRPr="000E0324" w:rsidRDefault="00855820" w:rsidP="00903CB0">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д) обоснование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валидации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их оценки, идентификация программных средств для расчетов;</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е) таблицы, содержащие краткий обзор аналитических методик. В случае использования хроматографических методов приводятся условия хроматографического анализа: подвижная фаза, тип колонки (предколонки),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скорость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потока,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колонки,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температура автосамплера,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объем</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вводимой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пробы),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детектор,</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параметры детектирования,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линейный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нижний предел</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количественного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определения,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используемые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градуировочные 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концентрация),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контроля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качества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(число</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концентрация), способ построения и тип градуировочной зависимости;</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ж) селективность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(идентификация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выполненных аналитических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(циклов),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 (в форме таблиц, хроматограммы или иные первичные данные в случае целесообразности, соответствие критериям приемлемости);</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з) градуировочная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(уравнение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кривой,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коэффициент корреляции,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линейный</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диапазон,</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 (в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виде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таблиц,</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хроматограммы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первичные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случае целесообразности,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идентификация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выполненных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серий (циклов), соответствие критериям приемлемости);</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и) 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повторяемость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течение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1</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дня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 аналитической серии (цикла), критерии приемлемости, результаты в форме таблиц, соответствие критериям приемлемости;</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 правильность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прецизионность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разные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дни,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аналитические серии (циклы), критерии приемлемости, результаты в форме таблиц, соответствие критериям приемлемости;</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л) процедура разбавления образцов при необходимости (критерии приемлемости, результаты в форме таблиц, соответствие критериям приемлемости);</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м) стабильность образцов (растворов):</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стабильность</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хранения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исходных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рабочих</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(критерии приемлемости,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результаты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форме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таблиц,</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соответствие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критериям приемлемости);</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стабильность образцов (растворов) в процессе выполнения анализов,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включая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lastRenderedPageBreak/>
        <w:t>подготовку</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(растворов)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время одного анализа;</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н) отклонения, принятые меры, их обоснование;</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о) заключение;</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п) литература,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использованная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для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обоснования</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выбора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метода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 параметров валидации, разработки аналитической методики;</w:t>
      </w:r>
    </w:p>
    <w:p w:rsidR="005661C0" w:rsidRPr="000E0324" w:rsidRDefault="00855820" w:rsidP="00BD36AD">
      <w:pPr>
        <w:spacing w:after="0" w:line="360" w:lineRule="auto"/>
        <w:ind w:left="102" w:right="39" w:firstLine="708"/>
        <w:jc w:val="both"/>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р) приложение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(репрезентативные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хроматограммы</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или</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иные первичные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данные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в</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количестве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не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менее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20 %</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от</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числа</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образцов, анализируемых при валидации аналитической методики).</w:t>
      </w:r>
    </w:p>
    <w:p w:rsidR="0003407C" w:rsidRPr="000E0324" w:rsidRDefault="0003407C" w:rsidP="00903CB0">
      <w:pPr>
        <w:spacing w:after="0" w:line="359" w:lineRule="auto"/>
        <w:jc w:val="both"/>
        <w:rPr>
          <w:rFonts w:ascii="Times New Roman" w:eastAsia="Times New Roman" w:hAnsi="Times New Roman" w:cs="Times New Roman"/>
          <w:sz w:val="24"/>
          <w:szCs w:val="24"/>
          <w:lang w:val="ru-RU"/>
        </w:rPr>
      </w:pPr>
    </w:p>
    <w:p w:rsidR="0003407C" w:rsidRPr="000E0324" w:rsidRDefault="0003407C">
      <w:pP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br w:type="page"/>
      </w:r>
    </w:p>
    <w:p w:rsidR="005661C0" w:rsidRPr="000E0324" w:rsidRDefault="00855820" w:rsidP="00903CB0">
      <w:pPr>
        <w:spacing w:before="66" w:after="0" w:line="240" w:lineRule="auto"/>
        <w:ind w:left="5848" w:right="1346"/>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lastRenderedPageBreak/>
        <w:t>ПРИЛОЖЕНИЕ № 8</w:t>
      </w:r>
    </w:p>
    <w:p w:rsidR="005661C0" w:rsidRPr="000E0324" w:rsidRDefault="00855820" w:rsidP="00903CB0">
      <w:pPr>
        <w:spacing w:after="0" w:line="240" w:lineRule="auto"/>
        <w:ind w:left="4864" w:right="359"/>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к Правилам проведения исследований биоэквивалентности лекарственных препаратов в рамках Евразийского экономического союза</w:t>
      </w:r>
    </w:p>
    <w:p w:rsidR="005661C0" w:rsidRPr="000E0324" w:rsidRDefault="005661C0" w:rsidP="00903CB0">
      <w:pPr>
        <w:spacing w:before="8" w:after="0" w:line="160" w:lineRule="exact"/>
        <w:rPr>
          <w:rFonts w:ascii="Times New Roman" w:hAnsi="Times New Roman" w:cs="Times New Roman"/>
          <w:sz w:val="24"/>
          <w:szCs w:val="24"/>
          <w:lang w:val="ru-RU"/>
        </w:rPr>
      </w:pPr>
    </w:p>
    <w:p w:rsidR="005661C0" w:rsidRPr="000E0324" w:rsidRDefault="005661C0" w:rsidP="00903CB0">
      <w:pPr>
        <w:spacing w:after="0" w:line="200" w:lineRule="exact"/>
        <w:rPr>
          <w:rFonts w:ascii="Times New Roman" w:hAnsi="Times New Roman" w:cs="Times New Roman"/>
          <w:sz w:val="24"/>
          <w:szCs w:val="24"/>
          <w:lang w:val="ru-RU"/>
        </w:rPr>
      </w:pPr>
    </w:p>
    <w:p w:rsidR="005661C0" w:rsidRPr="000E0324" w:rsidRDefault="00855820" w:rsidP="00903CB0">
      <w:pPr>
        <w:spacing w:after="0" w:line="240" w:lineRule="auto"/>
        <w:ind w:left="2403" w:right="2433"/>
        <w:jc w:val="center"/>
        <w:rPr>
          <w:rFonts w:ascii="Times New Roman" w:eastAsia="Times New Roman" w:hAnsi="Times New Roman" w:cs="Times New Roman"/>
          <w:sz w:val="24"/>
          <w:szCs w:val="24"/>
          <w:lang w:val="ru-RU"/>
        </w:rPr>
      </w:pPr>
      <w:r w:rsidRPr="000E0324">
        <w:rPr>
          <w:rFonts w:ascii="Times New Roman" w:eastAsia="Times New Roman" w:hAnsi="Times New Roman" w:cs="Times New Roman"/>
          <w:sz w:val="24"/>
          <w:szCs w:val="24"/>
          <w:lang w:val="ru-RU"/>
        </w:rPr>
        <w:t>УСЛОВНЫЕ</w:t>
      </w:r>
      <w:r w:rsidR="00903CB0" w:rsidRPr="000E0324">
        <w:rPr>
          <w:rFonts w:ascii="Times New Roman" w:eastAsia="Times New Roman" w:hAnsi="Times New Roman" w:cs="Times New Roman"/>
          <w:sz w:val="24"/>
          <w:szCs w:val="24"/>
          <w:lang w:val="ru-RU"/>
        </w:rPr>
        <w:t xml:space="preserve"> </w:t>
      </w:r>
      <w:r w:rsidRPr="000E0324">
        <w:rPr>
          <w:rFonts w:ascii="Times New Roman" w:eastAsia="Times New Roman" w:hAnsi="Times New Roman" w:cs="Times New Roman"/>
          <w:sz w:val="24"/>
          <w:szCs w:val="24"/>
          <w:lang w:val="ru-RU"/>
        </w:rPr>
        <w:t>ОБОЗНАЧЕНИЯ</w:t>
      </w:r>
    </w:p>
    <w:p w:rsidR="005661C0" w:rsidRPr="000E0324" w:rsidRDefault="00855820" w:rsidP="00903CB0">
      <w:pPr>
        <w:spacing w:after="0" w:line="337" w:lineRule="exact"/>
        <w:ind w:left="2529" w:right="2578"/>
        <w:jc w:val="center"/>
        <w:rPr>
          <w:rFonts w:ascii="Times New Roman" w:eastAsia="Times New Roman" w:hAnsi="Times New Roman" w:cs="Times New Roman"/>
          <w:sz w:val="24"/>
          <w:szCs w:val="24"/>
        </w:rPr>
      </w:pPr>
      <w:proofErr w:type="gramStart"/>
      <w:r w:rsidRPr="000E0324">
        <w:rPr>
          <w:rFonts w:ascii="Times New Roman" w:eastAsia="Times New Roman" w:hAnsi="Times New Roman" w:cs="Times New Roman"/>
          <w:position w:val="-1"/>
          <w:sz w:val="24"/>
          <w:szCs w:val="24"/>
        </w:rPr>
        <w:t>фармакокинетических</w:t>
      </w:r>
      <w:proofErr w:type="gramEnd"/>
      <w:r w:rsidRPr="000E0324">
        <w:rPr>
          <w:rFonts w:ascii="Times New Roman" w:eastAsia="Times New Roman" w:hAnsi="Times New Roman" w:cs="Times New Roman"/>
          <w:position w:val="-1"/>
          <w:sz w:val="24"/>
          <w:szCs w:val="24"/>
        </w:rPr>
        <w:t xml:space="preserve"> параметров</w:t>
      </w:r>
    </w:p>
    <w:p w:rsidR="005661C0" w:rsidRPr="000E0324" w:rsidRDefault="005661C0" w:rsidP="00903CB0">
      <w:pPr>
        <w:spacing w:after="0" w:line="200"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7882"/>
      </w:tblGrid>
      <w:tr w:rsidR="0003407C" w:rsidRPr="000E0324" w:rsidTr="000E0324">
        <w:trPr>
          <w:jc w:val="center"/>
        </w:trPr>
        <w:tc>
          <w:tcPr>
            <w:tcW w:w="1570"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rPr>
              <w:t>Ае</w:t>
            </w:r>
            <w:r w:rsidRPr="000E0324">
              <w:rPr>
                <w:rStyle w:val="Bodytext29pt"/>
                <w:sz w:val="24"/>
                <w:szCs w:val="24"/>
                <w:vertAlign w:val="subscript"/>
                <w:lang w:val="ru-RU" w:eastAsia="ru-RU" w:bidi="ru-RU"/>
              </w:rPr>
              <w:t>(</w:t>
            </w:r>
            <w:r w:rsidRPr="000E0324">
              <w:rPr>
                <w:rStyle w:val="Bodytext29pt"/>
                <w:sz w:val="24"/>
                <w:szCs w:val="24"/>
                <w:vertAlign w:val="subscript"/>
                <w:lang w:eastAsia="ru-RU" w:bidi="ru-RU"/>
              </w:rPr>
              <w:t>0</w:t>
            </w:r>
            <w:r w:rsidRPr="000E0324">
              <w:rPr>
                <w:rStyle w:val="Bodytext29pt"/>
                <w:sz w:val="24"/>
                <w:szCs w:val="24"/>
                <w:vertAlign w:val="subscript"/>
                <w:lang w:val="ru-RU" w:eastAsia="ru-RU" w:bidi="ru-RU"/>
              </w:rPr>
              <w:t>-</w:t>
            </w:r>
            <w:r w:rsidRPr="000E0324">
              <w:rPr>
                <w:rStyle w:val="Bodytext29pt"/>
                <w:sz w:val="24"/>
                <w:szCs w:val="24"/>
                <w:vertAlign w:val="subscript"/>
              </w:rPr>
              <w:t>t</w:t>
            </w:r>
            <w:r w:rsidRPr="000E0324">
              <w:rPr>
                <w:rStyle w:val="Bodytext29pt"/>
                <w:sz w:val="24"/>
                <w:szCs w:val="24"/>
                <w:vertAlign w:val="subscript"/>
                <w:lang w:val="ru-RU" w:eastAsia="ru-RU" w:bidi="ru-RU"/>
              </w:rPr>
              <w:t>)</w:t>
            </w:r>
          </w:p>
        </w:tc>
        <w:tc>
          <w:tcPr>
            <w:tcW w:w="7882"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lang w:val="ru-RU"/>
              </w:rPr>
            </w:pPr>
            <w:r w:rsidRPr="000E0324">
              <w:rPr>
                <w:sz w:val="24"/>
                <w:szCs w:val="24"/>
                <w:lang w:val="ru-RU"/>
              </w:rPr>
              <w:t xml:space="preserve">общее содержание неизмененного действующего вещества в моче, собранной от момента приема до времени </w:t>
            </w:r>
            <w:r w:rsidRPr="000E0324">
              <w:rPr>
                <w:sz w:val="24"/>
                <w:szCs w:val="24"/>
                <w:lang w:bidi="en-US"/>
              </w:rPr>
              <w:t>t</w:t>
            </w:r>
          </w:p>
        </w:tc>
      </w:tr>
      <w:tr w:rsidR="0003407C" w:rsidRPr="000E0324" w:rsidTr="000E0324">
        <w:trPr>
          <w:jc w:val="center"/>
        </w:trPr>
        <w:tc>
          <w:tcPr>
            <w:tcW w:w="1570"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rPr>
              <w:t>А</w:t>
            </w:r>
            <w:r w:rsidRPr="000E0324">
              <w:rPr>
                <w:sz w:val="24"/>
                <w:szCs w:val="24"/>
                <w:lang w:bidi="en-US"/>
              </w:rPr>
              <w:t>U</w:t>
            </w:r>
            <w:r w:rsidRPr="000E0324">
              <w:rPr>
                <w:sz w:val="24"/>
                <w:szCs w:val="24"/>
              </w:rPr>
              <w:t>С</w:t>
            </w:r>
            <w:r w:rsidRPr="000E0324">
              <w:rPr>
                <w:rStyle w:val="Bodytext29pt"/>
                <w:sz w:val="24"/>
                <w:szCs w:val="24"/>
                <w:vertAlign w:val="subscript"/>
                <w:lang w:val="ru-RU" w:eastAsia="ru-RU" w:bidi="ru-RU"/>
              </w:rPr>
              <w:t>(0</w:t>
            </w:r>
            <w:r w:rsidRPr="000E0324">
              <w:rPr>
                <w:rStyle w:val="Bodytext29pt"/>
                <w:sz w:val="24"/>
                <w:szCs w:val="24"/>
                <w:vertAlign w:val="subscript"/>
                <w:lang w:eastAsia="ru-RU" w:bidi="ru-RU"/>
              </w:rPr>
              <w:t>-</w:t>
            </w:r>
            <w:r w:rsidRPr="000E0324">
              <w:rPr>
                <w:rStyle w:val="Bodytext29pt"/>
                <w:sz w:val="24"/>
                <w:szCs w:val="24"/>
                <w:vertAlign w:val="subscript"/>
                <w:lang w:val="ru-RU" w:eastAsia="ru-RU" w:bidi="ru-RU"/>
              </w:rPr>
              <w:t>72 ч)</w:t>
            </w:r>
          </w:p>
        </w:tc>
        <w:tc>
          <w:tcPr>
            <w:tcW w:w="7882"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lang w:val="ru-RU"/>
              </w:rPr>
            </w:pPr>
            <w:r w:rsidRPr="000E0324">
              <w:rPr>
                <w:sz w:val="24"/>
                <w:szCs w:val="24"/>
                <w:lang w:val="ru-RU"/>
              </w:rPr>
              <w:t>площадь под кривой «плазменная концентрация - время» с момента приема лекарственного препарата до 72 ч</w:t>
            </w:r>
          </w:p>
        </w:tc>
      </w:tr>
      <w:tr w:rsidR="0003407C" w:rsidRPr="000E0324" w:rsidTr="000E0324">
        <w:trPr>
          <w:jc w:val="center"/>
        </w:trPr>
        <w:tc>
          <w:tcPr>
            <w:tcW w:w="1570"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rPr>
              <w:t>А</w:t>
            </w:r>
            <w:r w:rsidRPr="000E0324">
              <w:rPr>
                <w:sz w:val="24"/>
                <w:szCs w:val="24"/>
                <w:lang w:bidi="en-US"/>
              </w:rPr>
              <w:t>U</w:t>
            </w:r>
            <w:r w:rsidRPr="000E0324">
              <w:rPr>
                <w:sz w:val="24"/>
                <w:szCs w:val="24"/>
              </w:rPr>
              <w:t>С</w:t>
            </w:r>
            <w:r w:rsidRPr="000E0324">
              <w:rPr>
                <w:rStyle w:val="Bodytext29pt"/>
                <w:sz w:val="24"/>
                <w:szCs w:val="24"/>
                <w:vertAlign w:val="subscript"/>
                <w:lang w:val="ru-RU" w:eastAsia="ru-RU" w:bidi="ru-RU"/>
              </w:rPr>
              <w:t>(0-</w:t>
            </w:r>
            <w:r w:rsidRPr="000E0324">
              <w:rPr>
                <w:rStyle w:val="Bodytext29pt"/>
                <w:sz w:val="24"/>
                <w:szCs w:val="24"/>
                <w:vertAlign w:val="subscript"/>
              </w:rPr>
              <w:t>∞</w:t>
            </w:r>
            <w:r w:rsidRPr="000E0324">
              <w:rPr>
                <w:rStyle w:val="Bodytext29pt"/>
                <w:sz w:val="24"/>
                <w:szCs w:val="24"/>
                <w:vertAlign w:val="subscript"/>
                <w:lang w:val="ru-RU" w:eastAsia="ru-RU" w:bidi="ru-RU"/>
              </w:rPr>
              <w:t>)</w:t>
            </w:r>
          </w:p>
        </w:tc>
        <w:tc>
          <w:tcPr>
            <w:tcW w:w="7882"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lang w:val="ru-RU"/>
              </w:rPr>
            </w:pPr>
            <w:r w:rsidRPr="000E0324">
              <w:rPr>
                <w:sz w:val="24"/>
                <w:szCs w:val="24"/>
                <w:lang w:val="ru-RU"/>
              </w:rPr>
              <w:t>площадь под кривой «плазменная концентрация - время» с момента приема лекарственного препарата до бесконечности</w:t>
            </w:r>
          </w:p>
        </w:tc>
      </w:tr>
      <w:tr w:rsidR="0003407C" w:rsidRPr="000E0324" w:rsidTr="000E0324">
        <w:trPr>
          <w:jc w:val="center"/>
        </w:trPr>
        <w:tc>
          <w:tcPr>
            <w:tcW w:w="1570"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rPr>
              <w:t>AUC</w:t>
            </w:r>
            <w:r w:rsidRPr="000E0324">
              <w:rPr>
                <w:rStyle w:val="Bodytext29pt"/>
                <w:sz w:val="24"/>
                <w:szCs w:val="24"/>
                <w:vertAlign w:val="subscript"/>
                <w:lang w:val="ru-RU" w:eastAsia="ru-RU" w:bidi="ru-RU"/>
              </w:rPr>
              <w:t>(</w:t>
            </w:r>
            <w:r w:rsidRPr="000E0324">
              <w:rPr>
                <w:rStyle w:val="Bodytext29pt"/>
                <w:sz w:val="24"/>
                <w:szCs w:val="24"/>
                <w:vertAlign w:val="subscript"/>
                <w:lang w:eastAsia="ru-RU" w:bidi="ru-RU"/>
              </w:rPr>
              <w:t>0</w:t>
            </w:r>
            <w:r w:rsidRPr="000E0324">
              <w:rPr>
                <w:rStyle w:val="Bodytext29pt"/>
                <w:sz w:val="24"/>
                <w:szCs w:val="24"/>
                <w:vertAlign w:val="subscript"/>
                <w:lang w:val="ru-RU" w:eastAsia="ru-RU" w:bidi="ru-RU"/>
              </w:rPr>
              <w:t>-</w:t>
            </w:r>
            <w:r w:rsidRPr="000E0324">
              <w:rPr>
                <w:rStyle w:val="Bodytext29pt"/>
                <w:sz w:val="24"/>
                <w:szCs w:val="24"/>
                <w:vertAlign w:val="subscript"/>
              </w:rPr>
              <w:t>t</w:t>
            </w:r>
            <w:r w:rsidRPr="000E0324">
              <w:rPr>
                <w:rStyle w:val="Bodytext29pt"/>
                <w:sz w:val="24"/>
                <w:szCs w:val="24"/>
                <w:vertAlign w:val="subscript"/>
                <w:lang w:val="ru-RU" w:eastAsia="ru-RU" w:bidi="ru-RU"/>
              </w:rPr>
              <w:t>)</w:t>
            </w:r>
          </w:p>
        </w:tc>
        <w:tc>
          <w:tcPr>
            <w:tcW w:w="7882"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lang w:val="ru-RU"/>
              </w:rPr>
            </w:pPr>
            <w:r w:rsidRPr="000E0324">
              <w:rPr>
                <w:sz w:val="24"/>
                <w:szCs w:val="24"/>
                <w:lang w:val="ru-RU"/>
              </w:rPr>
              <w:t xml:space="preserve">площадь под кривой «плазменная концентрация - время» с момента приема до последней определяемой концентрации во временной точке </w:t>
            </w:r>
            <w:r w:rsidRPr="000E0324">
              <w:rPr>
                <w:sz w:val="24"/>
                <w:szCs w:val="24"/>
                <w:lang w:bidi="en-US"/>
              </w:rPr>
              <w:t>t</w:t>
            </w:r>
          </w:p>
        </w:tc>
      </w:tr>
      <w:tr w:rsidR="0003407C" w:rsidRPr="000E0324" w:rsidTr="000E0324">
        <w:trPr>
          <w:jc w:val="center"/>
        </w:trPr>
        <w:tc>
          <w:tcPr>
            <w:tcW w:w="1570"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rPr>
              <w:t>А</w:t>
            </w:r>
            <w:r w:rsidRPr="000E0324">
              <w:rPr>
                <w:sz w:val="24"/>
                <w:szCs w:val="24"/>
                <w:lang w:bidi="en-US"/>
              </w:rPr>
              <w:t>U</w:t>
            </w:r>
            <w:r w:rsidRPr="000E0324">
              <w:rPr>
                <w:sz w:val="24"/>
                <w:szCs w:val="24"/>
              </w:rPr>
              <w:t>С</w:t>
            </w:r>
            <w:r w:rsidRPr="000E0324">
              <w:rPr>
                <w:rStyle w:val="Bodytext29pt"/>
                <w:sz w:val="24"/>
                <w:szCs w:val="24"/>
                <w:vertAlign w:val="subscript"/>
                <w:lang w:val="ru-RU" w:eastAsia="ru-RU" w:bidi="ru-RU"/>
              </w:rPr>
              <w:t>(</w:t>
            </w:r>
            <w:r w:rsidRPr="000E0324">
              <w:rPr>
                <w:rStyle w:val="Bodytext29pt"/>
                <w:sz w:val="24"/>
                <w:szCs w:val="24"/>
                <w:vertAlign w:val="subscript"/>
                <w:lang w:eastAsia="ru-RU" w:bidi="ru-RU"/>
              </w:rPr>
              <w:t>0</w:t>
            </w:r>
            <w:r w:rsidRPr="000E0324">
              <w:rPr>
                <w:rStyle w:val="Bodytext29pt"/>
                <w:sz w:val="24"/>
                <w:szCs w:val="24"/>
                <w:vertAlign w:val="subscript"/>
                <w:lang w:val="ru-RU" w:eastAsia="ru-RU" w:bidi="ru-RU"/>
              </w:rPr>
              <w:t>-</w:t>
            </w:r>
            <w:r w:rsidRPr="000E0324">
              <w:rPr>
                <w:rStyle w:val="Bodytext29pt"/>
                <w:sz w:val="24"/>
                <w:szCs w:val="24"/>
                <w:vertAlign w:val="subscript"/>
              </w:rPr>
              <w:t>τ</w:t>
            </w:r>
            <w:r w:rsidRPr="000E0324">
              <w:rPr>
                <w:rStyle w:val="Bodytext29pt"/>
                <w:sz w:val="24"/>
                <w:szCs w:val="24"/>
                <w:vertAlign w:val="subscript"/>
                <w:lang w:val="ru-RU" w:eastAsia="ru-RU" w:bidi="ru-RU"/>
              </w:rPr>
              <w:t>)</w:t>
            </w:r>
          </w:p>
        </w:tc>
        <w:tc>
          <w:tcPr>
            <w:tcW w:w="7882"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lang w:val="ru-RU"/>
              </w:rPr>
            </w:pPr>
            <w:r w:rsidRPr="000E0324">
              <w:rPr>
                <w:sz w:val="24"/>
                <w:szCs w:val="24"/>
                <w:lang w:val="ru-RU"/>
              </w:rPr>
              <w:t>равновесная площадь под кривой в интервале дозирования</w:t>
            </w:r>
          </w:p>
        </w:tc>
      </w:tr>
      <w:tr w:rsidR="0003407C" w:rsidRPr="000E0324" w:rsidTr="000E0324">
        <w:trPr>
          <w:jc w:val="center"/>
        </w:trPr>
        <w:tc>
          <w:tcPr>
            <w:tcW w:w="1570"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rPr>
              <w:t>А</w:t>
            </w:r>
            <w:r w:rsidRPr="000E0324">
              <w:rPr>
                <w:sz w:val="24"/>
                <w:szCs w:val="24"/>
                <w:lang w:bidi="en-US"/>
              </w:rPr>
              <w:t>U</w:t>
            </w:r>
            <w:r w:rsidRPr="000E0324">
              <w:rPr>
                <w:sz w:val="24"/>
                <w:szCs w:val="24"/>
              </w:rPr>
              <w:t>С</w:t>
            </w:r>
            <w:r w:rsidRPr="000E0324">
              <w:rPr>
                <w:rStyle w:val="Bodytext29pt"/>
                <w:sz w:val="24"/>
                <w:szCs w:val="24"/>
                <w:vertAlign w:val="subscript"/>
                <w:lang w:val="ru-RU" w:eastAsia="ru-RU" w:bidi="ru-RU"/>
              </w:rPr>
              <w:t>(</w:t>
            </w:r>
            <w:r w:rsidRPr="000E0324">
              <w:rPr>
                <w:rStyle w:val="Bodytext29pt"/>
                <w:sz w:val="24"/>
                <w:szCs w:val="24"/>
                <w:vertAlign w:val="subscript"/>
              </w:rPr>
              <w:t>extr)</w:t>
            </w:r>
          </w:p>
        </w:tc>
        <w:tc>
          <w:tcPr>
            <w:tcW w:w="7882"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lang w:val="ru-RU"/>
              </w:rPr>
            </w:pPr>
            <w:r w:rsidRPr="000E0324">
              <w:rPr>
                <w:sz w:val="24"/>
                <w:szCs w:val="24"/>
                <w:lang w:val="ru-RU"/>
              </w:rPr>
              <w:t xml:space="preserve">остаточная (экстраполируемая) площадь под кривой, определяемая по формуле  </w:t>
            </w:r>
            <m:oMath>
              <m:f>
                <m:fPr>
                  <m:ctrlPr>
                    <w:rPr>
                      <w:rFonts w:ascii="Cambria Math" w:hAnsi="Cambria Math"/>
                      <w:i/>
                      <w:sz w:val="24"/>
                      <w:szCs w:val="24"/>
                    </w:rPr>
                  </m:ctrlPr>
                </m:fPr>
                <m:num>
                  <m:sSub>
                    <m:sSubPr>
                      <m:ctrlPr>
                        <w:rPr>
                          <w:rFonts w:ascii="Cambria Math" w:hAnsi="Cambria Math"/>
                          <w:i/>
                          <w:sz w:val="24"/>
                          <w:szCs w:val="24"/>
                          <w:lang w:bidi="en-US"/>
                        </w:rPr>
                      </m:ctrlPr>
                    </m:sSubPr>
                    <m:e>
                      <m:r>
                        <w:rPr>
                          <w:rFonts w:ascii="Cambria Math" w:hAnsi="Cambria Math"/>
                          <w:sz w:val="24"/>
                          <w:szCs w:val="24"/>
                          <w:lang w:bidi="en-US"/>
                        </w:rPr>
                        <m:t>AUC</m:t>
                      </m:r>
                    </m:e>
                    <m:sub>
                      <m:r>
                        <w:rPr>
                          <w:rFonts w:ascii="Cambria Math" w:hAnsi="Cambria Math"/>
                          <w:sz w:val="24"/>
                          <w:szCs w:val="24"/>
                          <w:vertAlign w:val="subscript"/>
                          <w:lang w:val="ru-RU"/>
                        </w:rPr>
                        <m:t>(0</m:t>
                      </m:r>
                      <m:r>
                        <w:rPr>
                          <w:rStyle w:val="Bodytext29pt"/>
                          <w:rFonts w:ascii="Cambria Math" w:hAnsi="Cambria Math"/>
                          <w:sz w:val="24"/>
                          <w:szCs w:val="24"/>
                          <w:vertAlign w:val="subscript"/>
                          <w:lang w:val="ru-RU" w:eastAsia="ru-RU" w:bidi="ru-RU"/>
                        </w:rPr>
                        <m:t>-</m:t>
                      </m:r>
                      <m:r>
                        <w:rPr>
                          <w:rStyle w:val="Bodytext29pt"/>
                          <w:rFonts w:ascii="Cambria Math" w:hAnsi="Cambria Math"/>
                          <w:sz w:val="24"/>
                          <w:szCs w:val="24"/>
                          <w:vertAlign w:val="subscript"/>
                          <w:lang w:val="ru-RU"/>
                        </w:rPr>
                        <m:t>∞</m:t>
                      </m:r>
                      <m:r>
                        <w:rPr>
                          <w:rFonts w:ascii="Cambria Math" w:hAnsi="Cambria Math"/>
                          <w:sz w:val="24"/>
                          <w:szCs w:val="24"/>
                          <w:vertAlign w:val="subscript"/>
                          <w:lang w:val="ru-RU"/>
                        </w:rPr>
                        <m:t>)</m:t>
                      </m:r>
                    </m:sub>
                  </m:sSub>
                  <m:r>
                    <w:rPr>
                      <w:rFonts w:ascii="Cambria Math" w:hAnsi="Cambria Math"/>
                      <w:sz w:val="24"/>
                      <w:szCs w:val="24"/>
                      <w:lang w:val="ru-RU"/>
                    </w:rPr>
                    <m:t>-</m:t>
                  </m:r>
                  <m:sSub>
                    <m:sSubPr>
                      <m:ctrlPr>
                        <w:rPr>
                          <w:rFonts w:ascii="Cambria Math" w:hAnsi="Cambria Math"/>
                          <w:i/>
                          <w:sz w:val="24"/>
                          <w:szCs w:val="24"/>
                          <w:lang w:bidi="en-US"/>
                        </w:rPr>
                      </m:ctrlPr>
                    </m:sSubPr>
                    <m:e>
                      <m:r>
                        <w:rPr>
                          <w:rFonts w:ascii="Cambria Math" w:hAnsi="Cambria Math"/>
                          <w:sz w:val="24"/>
                          <w:szCs w:val="24"/>
                          <w:lang w:bidi="en-US"/>
                        </w:rPr>
                        <m:t>AUC</m:t>
                      </m:r>
                    </m:e>
                    <m:sub>
                      <m:r>
                        <m:rPr>
                          <m:sty m:val="p"/>
                        </m:rPr>
                        <w:rPr>
                          <w:rFonts w:ascii="Cambria Math" w:hAnsi="Cambria Math"/>
                          <w:sz w:val="24"/>
                          <w:szCs w:val="24"/>
                          <w:vertAlign w:val="subscript"/>
                          <w:lang w:val="ru-RU"/>
                        </w:rPr>
                        <m:t>(0-</m:t>
                      </m:r>
                      <m:r>
                        <w:rPr>
                          <w:rStyle w:val="Bodytext2Italic"/>
                          <w:rFonts w:ascii="Cambria Math" w:hAnsi="Cambria Math"/>
                          <w:sz w:val="24"/>
                          <w:szCs w:val="24"/>
                          <w:vertAlign w:val="subscript"/>
                        </w:rPr>
                        <m:t>t</m:t>
                      </m:r>
                      <m:r>
                        <m:rPr>
                          <m:sty m:val="p"/>
                        </m:rPr>
                        <w:rPr>
                          <w:rFonts w:ascii="Cambria Math" w:hAnsi="Cambria Math"/>
                          <w:sz w:val="24"/>
                          <w:szCs w:val="24"/>
                          <w:vertAlign w:val="subscript"/>
                          <w:lang w:val="ru-RU"/>
                        </w:rPr>
                        <m:t>)</m:t>
                      </m:r>
                    </m:sub>
                  </m:sSub>
                </m:num>
                <m:den>
                  <m:sSub>
                    <m:sSubPr>
                      <m:ctrlPr>
                        <w:rPr>
                          <w:rFonts w:ascii="Cambria Math" w:hAnsi="Cambria Math"/>
                          <w:i/>
                          <w:sz w:val="24"/>
                          <w:szCs w:val="24"/>
                          <w:lang w:bidi="en-US"/>
                        </w:rPr>
                      </m:ctrlPr>
                    </m:sSubPr>
                    <m:e>
                      <m:r>
                        <w:rPr>
                          <w:rFonts w:ascii="Cambria Math" w:hAnsi="Cambria Math"/>
                          <w:sz w:val="24"/>
                          <w:szCs w:val="24"/>
                          <w:lang w:bidi="en-US"/>
                        </w:rPr>
                        <m:t>AUC</m:t>
                      </m:r>
                    </m:e>
                    <m:sub>
                      <m:r>
                        <w:rPr>
                          <w:rFonts w:ascii="Cambria Math" w:hAnsi="Cambria Math"/>
                          <w:sz w:val="24"/>
                          <w:szCs w:val="24"/>
                          <w:vertAlign w:val="subscript"/>
                          <w:lang w:val="ru-RU" w:bidi="en-US"/>
                        </w:rPr>
                        <m:t>(0-∞)</m:t>
                      </m:r>
                    </m:sub>
                  </m:sSub>
                </m:den>
              </m:f>
            </m:oMath>
          </w:p>
        </w:tc>
      </w:tr>
      <w:tr w:rsidR="0003407C" w:rsidRPr="000E0324" w:rsidTr="000E0324">
        <w:trPr>
          <w:jc w:val="center"/>
        </w:trPr>
        <w:tc>
          <w:tcPr>
            <w:tcW w:w="1570"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rStyle w:val="Bodytext29pt"/>
                <w:sz w:val="24"/>
                <w:szCs w:val="24"/>
              </w:rPr>
              <w:t>C</w:t>
            </w:r>
            <w:r w:rsidRPr="000E0324">
              <w:rPr>
                <w:rStyle w:val="Bodytext29pt"/>
                <w:sz w:val="24"/>
                <w:szCs w:val="24"/>
                <w:vertAlign w:val="subscript"/>
              </w:rPr>
              <w:t>max</w:t>
            </w:r>
          </w:p>
        </w:tc>
        <w:tc>
          <w:tcPr>
            <w:tcW w:w="7882"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rPr>
              <w:t>максимальная плазменная концентрация</w:t>
            </w:r>
          </w:p>
        </w:tc>
      </w:tr>
      <w:tr w:rsidR="0003407C" w:rsidRPr="000E0324" w:rsidTr="000E0324">
        <w:trPr>
          <w:jc w:val="center"/>
        </w:trPr>
        <w:tc>
          <w:tcPr>
            <w:tcW w:w="1570"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lang w:bidi="en-US"/>
              </w:rPr>
              <w:t>C</w:t>
            </w:r>
            <w:r w:rsidRPr="000E0324">
              <w:rPr>
                <w:sz w:val="24"/>
                <w:szCs w:val="24"/>
                <w:vertAlign w:val="subscript"/>
                <w:lang w:bidi="en-US"/>
              </w:rPr>
              <w:t>max,ss</w:t>
            </w:r>
          </w:p>
        </w:tc>
        <w:tc>
          <w:tcPr>
            <w:tcW w:w="7882"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rPr>
              <w:t>равновесная максимальная плазменная концентрация</w:t>
            </w:r>
          </w:p>
        </w:tc>
      </w:tr>
      <w:tr w:rsidR="0003407C" w:rsidRPr="000E0324" w:rsidTr="000E0324">
        <w:trPr>
          <w:jc w:val="center"/>
        </w:trPr>
        <w:tc>
          <w:tcPr>
            <w:tcW w:w="1570"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rStyle w:val="Bodytext29pt"/>
                <w:sz w:val="24"/>
                <w:szCs w:val="24"/>
              </w:rPr>
              <w:t>k</w:t>
            </w:r>
            <w:r w:rsidRPr="000E0324">
              <w:rPr>
                <w:rStyle w:val="Bodytext29pt"/>
                <w:sz w:val="24"/>
                <w:szCs w:val="24"/>
                <w:vertAlign w:val="subscript"/>
              </w:rPr>
              <w:t>el</w:t>
            </w:r>
          </w:p>
        </w:tc>
        <w:tc>
          <w:tcPr>
            <w:tcW w:w="7882"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rPr>
              <w:t>константа скорости терминальной элиминации</w:t>
            </w:r>
          </w:p>
        </w:tc>
      </w:tr>
      <w:tr w:rsidR="0003407C" w:rsidRPr="000E0324" w:rsidTr="000E0324">
        <w:trPr>
          <w:jc w:val="center"/>
        </w:trPr>
        <w:tc>
          <w:tcPr>
            <w:tcW w:w="1570"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rStyle w:val="Bodytext29pt"/>
                <w:sz w:val="24"/>
                <w:szCs w:val="24"/>
              </w:rPr>
              <w:t>R</w:t>
            </w:r>
            <w:r w:rsidRPr="000E0324">
              <w:rPr>
                <w:rStyle w:val="Bodytext29pt"/>
                <w:sz w:val="24"/>
                <w:szCs w:val="24"/>
                <w:vertAlign w:val="subscript"/>
              </w:rPr>
              <w:t>max</w:t>
            </w:r>
          </w:p>
        </w:tc>
        <w:tc>
          <w:tcPr>
            <w:tcW w:w="7882"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lang w:val="ru-RU"/>
              </w:rPr>
            </w:pPr>
            <w:r w:rsidRPr="000E0324">
              <w:rPr>
                <w:sz w:val="24"/>
                <w:szCs w:val="24"/>
                <w:lang w:val="ru-RU"/>
              </w:rPr>
              <w:t>максимальная скорость выведения с мочой</w:t>
            </w:r>
          </w:p>
        </w:tc>
      </w:tr>
      <w:tr w:rsidR="0003407C" w:rsidRPr="000E0324" w:rsidTr="000E0324">
        <w:trPr>
          <w:jc w:val="center"/>
        </w:trPr>
        <w:tc>
          <w:tcPr>
            <w:tcW w:w="1570"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rStyle w:val="Bodytext29pt"/>
                <w:sz w:val="24"/>
                <w:szCs w:val="24"/>
              </w:rPr>
              <w:t>t</w:t>
            </w:r>
            <w:r w:rsidRPr="000E0324">
              <w:rPr>
                <w:rStyle w:val="Bodytext29pt"/>
                <w:sz w:val="24"/>
                <w:szCs w:val="24"/>
                <w:vertAlign w:val="subscript"/>
              </w:rPr>
              <w:t>½</w:t>
            </w:r>
          </w:p>
        </w:tc>
        <w:tc>
          <w:tcPr>
            <w:tcW w:w="7882"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rPr>
              <w:t>период полувыведения из плазмы</w:t>
            </w:r>
          </w:p>
        </w:tc>
      </w:tr>
      <w:tr w:rsidR="0003407C" w:rsidRPr="000E0324" w:rsidTr="000E0324">
        <w:trPr>
          <w:jc w:val="center"/>
        </w:trPr>
        <w:tc>
          <w:tcPr>
            <w:tcW w:w="1570"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rStyle w:val="Bodytext29pt"/>
                <w:sz w:val="24"/>
                <w:szCs w:val="24"/>
              </w:rPr>
              <w:t>t</w:t>
            </w:r>
            <w:r w:rsidRPr="000E0324">
              <w:rPr>
                <w:rStyle w:val="Bodytext29pt"/>
                <w:sz w:val="24"/>
                <w:szCs w:val="24"/>
                <w:vertAlign w:val="subscript"/>
              </w:rPr>
              <w:t>max</w:t>
            </w:r>
          </w:p>
        </w:tc>
        <w:tc>
          <w:tcPr>
            <w:tcW w:w="7882"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rPr>
              <w:t>время достижения С</w:t>
            </w:r>
            <w:r w:rsidRPr="000E0324">
              <w:rPr>
                <w:sz w:val="24"/>
                <w:szCs w:val="24"/>
                <w:vertAlign w:val="subscript"/>
                <w:lang w:bidi="en-US"/>
              </w:rPr>
              <w:t>max</w:t>
            </w:r>
          </w:p>
        </w:tc>
      </w:tr>
      <w:tr w:rsidR="0003407C" w:rsidRPr="000E0324" w:rsidTr="000E0324">
        <w:trPr>
          <w:jc w:val="center"/>
        </w:trPr>
        <w:tc>
          <w:tcPr>
            <w:tcW w:w="1570"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lang w:bidi="en-US"/>
              </w:rPr>
              <w:t>t</w:t>
            </w:r>
            <w:r w:rsidRPr="000E0324">
              <w:rPr>
                <w:sz w:val="24"/>
                <w:szCs w:val="24"/>
                <w:vertAlign w:val="subscript"/>
                <w:lang w:bidi="en-US"/>
              </w:rPr>
              <w:t>max,ss</w:t>
            </w:r>
          </w:p>
        </w:tc>
        <w:tc>
          <w:tcPr>
            <w:tcW w:w="7882" w:type="dxa"/>
            <w:shd w:val="clear" w:color="auto" w:fill="FFFFFF"/>
          </w:tcPr>
          <w:p w:rsidR="0003407C" w:rsidRPr="000E0324" w:rsidRDefault="0003407C" w:rsidP="00BD36AD">
            <w:pPr>
              <w:pStyle w:val="Bodytext20"/>
              <w:shd w:val="clear" w:color="auto" w:fill="auto"/>
              <w:spacing w:before="0" w:after="120" w:line="240" w:lineRule="auto"/>
              <w:ind w:right="-6"/>
              <w:rPr>
                <w:sz w:val="24"/>
                <w:szCs w:val="24"/>
              </w:rPr>
            </w:pPr>
            <w:r w:rsidRPr="000E0324">
              <w:rPr>
                <w:sz w:val="24"/>
                <w:szCs w:val="24"/>
              </w:rPr>
              <w:t>время достижения С</w:t>
            </w:r>
            <w:r w:rsidRPr="000E0324">
              <w:rPr>
                <w:sz w:val="24"/>
                <w:szCs w:val="24"/>
                <w:vertAlign w:val="subscript"/>
                <w:lang w:bidi="en-US"/>
              </w:rPr>
              <w:t>max,ss</w:t>
            </w:r>
          </w:p>
        </w:tc>
      </w:tr>
    </w:tbl>
    <w:p w:rsidR="0003407C" w:rsidRPr="000E0324" w:rsidRDefault="0003407C" w:rsidP="00903CB0">
      <w:pPr>
        <w:spacing w:after="0" w:line="200" w:lineRule="exact"/>
        <w:rPr>
          <w:rFonts w:ascii="Times New Roman" w:hAnsi="Times New Roman" w:cs="Times New Roman"/>
          <w:sz w:val="24"/>
          <w:szCs w:val="24"/>
        </w:rPr>
      </w:pPr>
    </w:p>
    <w:sectPr w:rsidR="0003407C" w:rsidRPr="000E0324" w:rsidSect="005661C0">
      <w:headerReference w:type="default" r:id="rId7"/>
      <w:pgSz w:w="11920" w:h="16840"/>
      <w:pgMar w:top="1080" w:right="520" w:bottom="280" w:left="14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D1C" w:rsidRDefault="002A2D1C" w:rsidP="005661C0">
      <w:pPr>
        <w:spacing w:after="0" w:line="240" w:lineRule="auto"/>
      </w:pPr>
      <w:r>
        <w:separator/>
      </w:r>
    </w:p>
  </w:endnote>
  <w:endnote w:type="continuationSeparator" w:id="0">
    <w:p w:rsidR="002A2D1C" w:rsidRDefault="002A2D1C" w:rsidP="0056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Mat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D1C" w:rsidRDefault="002A2D1C" w:rsidP="005661C0">
      <w:pPr>
        <w:spacing w:after="0" w:line="240" w:lineRule="auto"/>
      </w:pPr>
      <w:r>
        <w:separator/>
      </w:r>
    </w:p>
  </w:footnote>
  <w:footnote w:type="continuationSeparator" w:id="0">
    <w:p w:rsidR="002A2D1C" w:rsidRDefault="002A2D1C" w:rsidP="00566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324" w:rsidRDefault="000E0324">
    <w:pPr>
      <w:spacing w:after="0" w:line="0" w:lineRule="atLeast"/>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5661C0"/>
    <w:rsid w:val="000147AF"/>
    <w:rsid w:val="0003407C"/>
    <w:rsid w:val="000E0324"/>
    <w:rsid w:val="0014698A"/>
    <w:rsid w:val="002A2D1C"/>
    <w:rsid w:val="003306EF"/>
    <w:rsid w:val="004019E6"/>
    <w:rsid w:val="00557B50"/>
    <w:rsid w:val="005661C0"/>
    <w:rsid w:val="006271E3"/>
    <w:rsid w:val="0063793B"/>
    <w:rsid w:val="00785F17"/>
    <w:rsid w:val="00855820"/>
    <w:rsid w:val="00903CB0"/>
    <w:rsid w:val="00BD0CA0"/>
    <w:rsid w:val="00BD2893"/>
    <w:rsid w:val="00BD36AD"/>
    <w:rsid w:val="00BD3B00"/>
    <w:rsid w:val="00DF0C6E"/>
    <w:rsid w:val="00F24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785F17"/>
    <w:rPr>
      <w:rFonts w:ascii="Times New Roman" w:eastAsia="Times New Roman" w:hAnsi="Times New Roman" w:cs="Times New Roman"/>
      <w:b/>
      <w:bCs/>
      <w:sz w:val="28"/>
      <w:szCs w:val="28"/>
      <w:shd w:val="clear" w:color="auto" w:fill="FFFFFF"/>
    </w:rPr>
  </w:style>
  <w:style w:type="character" w:customStyle="1" w:styleId="Bodytext3Spacing4pt">
    <w:name w:val="Body text (3) + Spacing 4 pt"/>
    <w:basedOn w:val="Bodytext3"/>
    <w:rsid w:val="00785F17"/>
    <w:rPr>
      <w:rFonts w:ascii="Times New Roman" w:eastAsia="Times New Roman" w:hAnsi="Times New Roman" w:cs="Times New Roman"/>
      <w:b/>
      <w:bCs/>
      <w:color w:val="000000"/>
      <w:spacing w:val="80"/>
      <w:w w:val="100"/>
      <w:position w:val="0"/>
      <w:sz w:val="28"/>
      <w:szCs w:val="28"/>
      <w:shd w:val="clear" w:color="auto" w:fill="FFFFFF"/>
      <w:lang w:val="ru-RU" w:eastAsia="ru-RU" w:bidi="ru-RU"/>
    </w:rPr>
  </w:style>
  <w:style w:type="character" w:customStyle="1" w:styleId="Bodytext2">
    <w:name w:val="Body text (2)_"/>
    <w:basedOn w:val="DefaultParagraphFont"/>
    <w:link w:val="Bodytext20"/>
    <w:rsid w:val="00785F17"/>
    <w:rPr>
      <w:rFonts w:ascii="Times New Roman" w:eastAsia="Times New Roman" w:hAnsi="Times New Roman" w:cs="Times New Roman"/>
      <w:sz w:val="28"/>
      <w:szCs w:val="28"/>
      <w:shd w:val="clear" w:color="auto" w:fill="FFFFFF"/>
    </w:rPr>
  </w:style>
  <w:style w:type="character" w:customStyle="1" w:styleId="Bodytext2Spacing2pt">
    <w:name w:val="Body text (2) + Spacing 2 pt"/>
    <w:basedOn w:val="Bodytext2"/>
    <w:rsid w:val="00785F17"/>
    <w:rPr>
      <w:rFonts w:ascii="Times New Roman" w:eastAsia="Times New Roman" w:hAnsi="Times New Roman" w:cs="Times New Roman"/>
      <w:color w:val="000000"/>
      <w:spacing w:val="40"/>
      <w:w w:val="100"/>
      <w:position w:val="0"/>
      <w:sz w:val="28"/>
      <w:szCs w:val="28"/>
      <w:shd w:val="clear" w:color="auto" w:fill="FFFFFF"/>
      <w:lang w:val="ru-RU" w:eastAsia="ru-RU" w:bidi="ru-RU"/>
    </w:rPr>
  </w:style>
  <w:style w:type="paragraph" w:customStyle="1" w:styleId="Bodytext30">
    <w:name w:val="Body text (3)"/>
    <w:basedOn w:val="Normal"/>
    <w:link w:val="Bodytext3"/>
    <w:rsid w:val="00785F17"/>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785F17"/>
    <w:pPr>
      <w:shd w:val="clear" w:color="auto" w:fill="FFFFFF"/>
      <w:spacing w:before="480" w:after="480" w:line="0" w:lineRule="atLeast"/>
      <w:jc w:val="both"/>
    </w:pPr>
    <w:rPr>
      <w:rFonts w:ascii="Times New Roman" w:eastAsia="Times New Roman" w:hAnsi="Times New Roman" w:cs="Times New Roman"/>
      <w:sz w:val="28"/>
      <w:szCs w:val="28"/>
    </w:rPr>
  </w:style>
  <w:style w:type="table" w:styleId="TableGrid">
    <w:name w:val="Table Grid"/>
    <w:basedOn w:val="TableNormal"/>
    <w:uiPriority w:val="59"/>
    <w:rsid w:val="00785F17"/>
    <w:pPr>
      <w:spacing w:after="0" w:line="240" w:lineRule="auto"/>
    </w:pPr>
    <w:rPr>
      <w:rFonts w:ascii="Tahoma" w:eastAsia="Tahoma" w:hAnsi="Tahoma" w:cs="Tahoma"/>
      <w:sz w:val="24"/>
      <w:szCs w:val="24"/>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5pt">
    <w:name w:val="Body text (2) + 15 pt"/>
    <w:aliases w:val="Bold,Body text (2) + 13 pt,Spacing 2 pt,Body text (2) + 11 pt"/>
    <w:basedOn w:val="Bodytext2"/>
    <w:rsid w:val="00785F17"/>
    <w:rPr>
      <w:rFonts w:ascii="Times New Roman" w:eastAsia="Times New Roman" w:hAnsi="Times New Roman" w:cs="Times New Roman"/>
      <w:b/>
      <w:bCs/>
      <w:color w:val="000000"/>
      <w:spacing w:val="0"/>
      <w:w w:val="100"/>
      <w:position w:val="0"/>
      <w:sz w:val="30"/>
      <w:szCs w:val="30"/>
      <w:shd w:val="clear" w:color="auto" w:fill="FFFFFF"/>
      <w:lang w:val="ru-RU" w:eastAsia="ru-RU" w:bidi="ru-RU"/>
    </w:rPr>
  </w:style>
  <w:style w:type="paragraph" w:styleId="ListParagraph">
    <w:name w:val="List Paragraph"/>
    <w:basedOn w:val="Normal"/>
    <w:uiPriority w:val="34"/>
    <w:qFormat/>
    <w:rsid w:val="00785F17"/>
    <w:pPr>
      <w:ind w:left="720"/>
      <w:contextualSpacing/>
    </w:pPr>
  </w:style>
  <w:style w:type="character" w:customStyle="1" w:styleId="Bodytext12">
    <w:name w:val="Body text (12)_"/>
    <w:basedOn w:val="DefaultParagraphFont"/>
    <w:link w:val="Bodytext120"/>
    <w:rsid w:val="00BD2893"/>
    <w:rPr>
      <w:rFonts w:ascii="Times New Roman" w:eastAsia="Times New Roman" w:hAnsi="Times New Roman" w:cs="Times New Roman"/>
      <w:b/>
      <w:bCs/>
      <w:shd w:val="clear" w:color="auto" w:fill="FFFFFF"/>
    </w:rPr>
  </w:style>
  <w:style w:type="paragraph" w:customStyle="1" w:styleId="Bodytext120">
    <w:name w:val="Body text (12)"/>
    <w:basedOn w:val="Normal"/>
    <w:link w:val="Bodytext12"/>
    <w:rsid w:val="00BD2893"/>
    <w:pPr>
      <w:shd w:val="clear" w:color="auto" w:fill="FFFFFF"/>
      <w:spacing w:after="0" w:line="274" w:lineRule="exact"/>
      <w:ind w:hanging="1460"/>
      <w:jc w:val="both"/>
    </w:pPr>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BD2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893"/>
    <w:rPr>
      <w:rFonts w:ascii="Tahoma" w:hAnsi="Tahoma" w:cs="Tahoma"/>
      <w:sz w:val="16"/>
      <w:szCs w:val="16"/>
    </w:rPr>
  </w:style>
  <w:style w:type="character" w:customStyle="1" w:styleId="Bodytext16">
    <w:name w:val="Body text (16)_"/>
    <w:basedOn w:val="DefaultParagraphFont"/>
    <w:link w:val="Bodytext160"/>
    <w:rsid w:val="006271E3"/>
    <w:rPr>
      <w:rFonts w:ascii="Times New Roman" w:eastAsia="Times New Roman" w:hAnsi="Times New Roman" w:cs="Times New Roman"/>
      <w:b/>
      <w:bCs/>
      <w:sz w:val="20"/>
      <w:szCs w:val="20"/>
      <w:shd w:val="clear" w:color="auto" w:fill="FFFFFF"/>
    </w:rPr>
  </w:style>
  <w:style w:type="paragraph" w:customStyle="1" w:styleId="Bodytext160">
    <w:name w:val="Body text (16)"/>
    <w:basedOn w:val="Normal"/>
    <w:link w:val="Bodytext16"/>
    <w:rsid w:val="006271E3"/>
    <w:pPr>
      <w:shd w:val="clear" w:color="auto" w:fill="FFFFFF"/>
      <w:spacing w:after="0" w:line="0" w:lineRule="atLeast"/>
      <w:jc w:val="both"/>
    </w:pPr>
    <w:rPr>
      <w:rFonts w:ascii="Times New Roman" w:eastAsia="Times New Roman" w:hAnsi="Times New Roman" w:cs="Times New Roman"/>
      <w:b/>
      <w:bCs/>
      <w:sz w:val="20"/>
      <w:szCs w:val="20"/>
    </w:rPr>
  </w:style>
  <w:style w:type="character" w:customStyle="1" w:styleId="Bodytext2Italic">
    <w:name w:val="Body text (2) + Italic"/>
    <w:basedOn w:val="Bodytext2"/>
    <w:rsid w:val="0003407C"/>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en-US" w:eastAsia="en-US" w:bidi="en-US"/>
    </w:rPr>
  </w:style>
  <w:style w:type="character" w:customStyle="1" w:styleId="Bodytext29pt">
    <w:name w:val="Body text (2) + 9 pt"/>
    <w:basedOn w:val="Bodytext2"/>
    <w:rsid w:val="0003407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95</Pages>
  <Words>34258</Words>
  <Characters>195275</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Tatevik</cp:lastModifiedBy>
  <cp:revision>4</cp:revision>
  <dcterms:created xsi:type="dcterms:W3CDTF">2017-07-18T16:27:00Z</dcterms:created>
  <dcterms:modified xsi:type="dcterms:W3CDTF">2017-11-06T07:21:00Z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LastSaved">
    <vt:filetime>2017-03-29T00:00:00Z</vt:filetime>
  </property>
</Properties>
</file>