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left="5670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81569C">
        <w:rPr>
          <w:rFonts w:ascii="Sylfaen" w:hAnsi="Sylfaen"/>
          <w:sz w:val="24"/>
          <w:szCs w:val="24"/>
        </w:rPr>
        <w:t>УТВЕРЖДЕНО</w:t>
      </w:r>
    </w:p>
    <w:p w:rsidR="00D046F6" w:rsidRDefault="00671EF9" w:rsidP="0081569C">
      <w:pPr>
        <w:pStyle w:val="Bodytext20"/>
        <w:shd w:val="clear" w:color="auto" w:fill="auto"/>
        <w:spacing w:before="0" w:after="120" w:line="240" w:lineRule="auto"/>
        <w:ind w:left="5670" w:firstLine="420"/>
        <w:jc w:val="center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Решением Евразийского межправительственного совета от 13апреля 2016г. №2</w:t>
      </w:r>
    </w:p>
    <w:p w:rsidR="0081569C" w:rsidRPr="0081569C" w:rsidRDefault="0081569C" w:rsidP="0081569C">
      <w:pPr>
        <w:pStyle w:val="Bodytext20"/>
        <w:shd w:val="clear" w:color="auto" w:fill="auto"/>
        <w:spacing w:before="0" w:after="120" w:line="240" w:lineRule="auto"/>
        <w:ind w:left="5670" w:firstLine="420"/>
        <w:jc w:val="center"/>
        <w:rPr>
          <w:rFonts w:ascii="Sylfaen" w:hAnsi="Sylfaen"/>
          <w:sz w:val="24"/>
          <w:szCs w:val="24"/>
        </w:rPr>
      </w:pPr>
    </w:p>
    <w:p w:rsidR="00D046F6" w:rsidRPr="0081569C" w:rsidRDefault="00671EF9" w:rsidP="0081569C">
      <w:pPr>
        <w:pStyle w:val="Bodytext30"/>
        <w:shd w:val="clear" w:color="auto" w:fill="auto"/>
        <w:spacing w:before="0" w:after="120" w:line="240" w:lineRule="auto"/>
        <w:ind w:left="1418" w:right="1418"/>
        <w:rPr>
          <w:rFonts w:ascii="Sylfaen" w:hAnsi="Sylfaen"/>
          <w:sz w:val="24"/>
          <w:szCs w:val="24"/>
        </w:rPr>
      </w:pPr>
      <w:r w:rsidRPr="0081569C">
        <w:rPr>
          <w:rStyle w:val="Bodytext315pt0"/>
          <w:rFonts w:ascii="Sylfaen" w:hAnsi="Sylfaen"/>
          <w:b/>
          <w:bCs/>
          <w:spacing w:val="0"/>
          <w:sz w:val="24"/>
          <w:szCs w:val="24"/>
        </w:rPr>
        <w:t>ПОЛОЖЕНИЕ</w:t>
      </w:r>
    </w:p>
    <w:p w:rsidR="00D046F6" w:rsidRDefault="00671EF9" w:rsidP="0081569C">
      <w:pPr>
        <w:pStyle w:val="Bodytext30"/>
        <w:shd w:val="clear" w:color="auto" w:fill="auto"/>
        <w:spacing w:before="0" w:after="120" w:line="240" w:lineRule="auto"/>
        <w:ind w:left="1418" w:right="1418"/>
        <w:rPr>
          <w:rStyle w:val="Bodytext315pt"/>
          <w:rFonts w:ascii="Sylfaen" w:hAnsi="Sylfaen"/>
          <w:b/>
          <w:bCs/>
          <w:sz w:val="24"/>
          <w:szCs w:val="24"/>
        </w:rPr>
      </w:pPr>
      <w:r w:rsidRPr="0081569C">
        <w:rPr>
          <w:rStyle w:val="Bodytext315pt"/>
          <w:rFonts w:ascii="Sylfaen" w:hAnsi="Sylfaen"/>
          <w:b/>
          <w:bCs/>
          <w:sz w:val="24"/>
          <w:szCs w:val="24"/>
        </w:rPr>
        <w:t>о формировании и функционировании евразийских</w:t>
      </w:r>
      <w:r w:rsidR="0081569C">
        <w:rPr>
          <w:rStyle w:val="Bodytext315pt"/>
          <w:rFonts w:ascii="Sylfaen" w:hAnsi="Sylfaen"/>
          <w:b/>
          <w:bCs/>
          <w:sz w:val="24"/>
          <w:szCs w:val="24"/>
        </w:rPr>
        <w:t xml:space="preserve"> </w:t>
      </w:r>
      <w:r w:rsidRPr="0081569C">
        <w:rPr>
          <w:rStyle w:val="Bodytext315pt"/>
          <w:rFonts w:ascii="Sylfaen" w:hAnsi="Sylfaen"/>
          <w:b/>
          <w:bCs/>
          <w:sz w:val="24"/>
          <w:szCs w:val="24"/>
        </w:rPr>
        <w:t>технологических платформ</w:t>
      </w:r>
    </w:p>
    <w:p w:rsidR="0081569C" w:rsidRPr="0081569C" w:rsidRDefault="0081569C" w:rsidP="0081569C">
      <w:pPr>
        <w:pStyle w:val="Bodytext30"/>
        <w:shd w:val="clear" w:color="auto" w:fill="auto"/>
        <w:spacing w:before="0" w:after="120" w:line="240" w:lineRule="auto"/>
        <w:ind w:right="240"/>
        <w:rPr>
          <w:rFonts w:ascii="Sylfaen" w:hAnsi="Sylfaen"/>
          <w:sz w:val="24"/>
          <w:szCs w:val="24"/>
        </w:rPr>
      </w:pP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I.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Общие положения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Настоящее Положение разработано в соответствии со статьей 92 Договора о Евразийском экономическом союзе от 29 мая 2014 года и Основными направлениями промышленного сотрудничества в рамках Евразийского экономического союза, утвержденными Решением Евразийского межправительственного совета от 8 сентября 2015 г. № 9, и определяет цель и задачи функционирования евразийских технологических платформ как объекта инновационной инфраструктуры государств - членов Евразийского экономического союза (далее соответственно - государства-члены, Союз), порядок их формирования, функционирования, финансирования.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Евразийские технологические платформы обеспечивают системную работу по аккумулированию передовых национальных и мировых достижений научно-технического развития, мобилизации научного потенциала государств-членов для совместного решения прикладных задач по разработке инновационных продуктов и технологий, их внедрению в промышленное производство.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Для целей настоящего Положения используются понятия, которые означают следующее: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«евразийские технологические платформы» - объекты инновационной инфраструктуры, позволяющие обеспечить эффективную коммуникацию и создание перспективных коммерческих технологий, высокотехнологичной, инновационной и конкурентоспособной продукции на основе участия всех заинтересованных сторон (бизнеса, науки, государства, общественных организаций);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«совместный проект» - инновационный проект, направленный на развитие кооперационных связей, реализуемый совместно организациями государств-членов в рамках евразийских технологических платформ;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«уполномоченный орган государства-члена» - орган государственной власти или организация, уполномоченные государством-членом осуществлять координацию деятельности евразийских технологических платформ на своей территории.</w:t>
      </w:r>
    </w:p>
    <w:p w:rsidR="0081569C" w:rsidRDefault="0081569C" w:rsidP="0081569C">
      <w:pPr>
        <w:pStyle w:val="Bodytext20"/>
        <w:shd w:val="clear" w:color="auto" w:fill="auto"/>
        <w:spacing w:before="0" w:after="120" w:line="240" w:lineRule="auto"/>
        <w:ind w:left="2268" w:right="2280" w:firstLine="0"/>
        <w:jc w:val="left"/>
        <w:rPr>
          <w:rFonts w:ascii="Sylfaen" w:hAnsi="Sylfaen"/>
          <w:sz w:val="24"/>
          <w:szCs w:val="24"/>
        </w:rPr>
      </w:pP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left="2268" w:right="2280" w:firstLine="0"/>
        <w:jc w:val="left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Цель и задачи функционирования евразийских технологических платформ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Целью функционирования евразийских технологических платформ, обеспечивающих кооперацию в научно-технической и инновационной сферах, является повышение эффективности взаимодействия всех заинтересованных сторон (бизнеса, науки, государства, общественных организаций) на основе объединения потенциалов государств-членов для стимулирования взаимовыгодного инновационного развития национальных промышленных комплексов, создания центров компетенции в государствах-членах, формирования экономики будущего, постоянного технологического обновления, повышения глобальной конкурентоспособности промышленности.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Для достижения указанной в пункте 4 настоящего Положения цели участники евразийских технологических платформ реализуют следующие задачи: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а)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определение потребности реального сектора экономики государств-членов в новых технологиях;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б)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поиск и содействие развитию приоритетных научно- технических проектов;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в)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налаживание сотрудничества государств-членов и поддержка совместных инициатив и совместных проектов;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г)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выявление барьеров, препятствующих научно-техническому развитию государств-членов, и выработка рекомендаций по их устранению;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д)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содействие совершенствованию документов по вопросам сотрудничества государств-членов в научно-технической и инновационной сферах;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е)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популяризация достижений научно-технического развития государств-членов, а также достижений в рамках евразийских технологических платформ;</w:t>
      </w:r>
    </w:p>
    <w:p w:rsidR="00D046F6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ж)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мониторинг результатов научно-технического и инновационного сотрудничества государств-членов.</w:t>
      </w:r>
    </w:p>
    <w:p w:rsidR="0081569C" w:rsidRPr="0081569C" w:rsidRDefault="0081569C" w:rsidP="0081569C">
      <w:pPr>
        <w:pStyle w:val="Bodytext20"/>
        <w:shd w:val="clear" w:color="auto" w:fill="auto"/>
        <w:spacing w:before="0" w:after="120" w:line="240" w:lineRule="auto"/>
        <w:ind w:left="380" w:right="340" w:firstLine="720"/>
        <w:rPr>
          <w:rFonts w:ascii="Sylfaen" w:hAnsi="Sylfaen"/>
          <w:sz w:val="24"/>
          <w:szCs w:val="24"/>
        </w:rPr>
      </w:pP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Направления деятельности евразийских технологических платформ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В соответствии со своими задачами участники евразийских технологических платформ проводят работу по следующим основным направлениям деятельности (в рамках компетенции):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а)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для решения задачи по популяризации достижений научно- технического развития государств-членов, а также достижений в рамках евразийских технологических платформ: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 xml:space="preserve">проводят анализ передовых достижений научно-технического развития </w:t>
      </w:r>
      <w:r w:rsidRPr="0081569C">
        <w:rPr>
          <w:rFonts w:ascii="Sylfaen" w:hAnsi="Sylfaen"/>
          <w:sz w:val="24"/>
          <w:szCs w:val="24"/>
        </w:rPr>
        <w:lastRenderedPageBreak/>
        <w:t>государств-членов;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проводят анализ мировых практик сотрудничества в научно- технической и инновационной сферах;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формируют (при необходимости) единые реестры передовых технологий и продукции;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формируют единые информационно-коммуникационные системы и порталы, обеспечивающие доступ к информационным базам и коммуникацию всех заинтересованных организаций государств-членов в развитии и освоении передовых технологий и продукции;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осуществляют распространение и популяризацию знаний о передовых национальных и мировых достижениях, в том числе путем: публикаций в средствах массовой информации; участия в сторонних мероприятиях и организации собственных; осуществления консультативной поддержки в освоении передовых технологий и подготовке современных кадров;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б)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для решения задачи по определению потребности реального сектора экономики государств-членов в новых технологиях: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проводят оценку уровня развития технологий и продукции организаций реального сектора экономики государств-членов, сопоставление с зарубежными аналогами;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формируют единые реестры потребностей в новых технологиях и видах продукции по заявкам и предложениям организаций реального сектора экономики государств-членов;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разрабатывают прогнозы развития рынков и технологий в отраслях и секторах экономики государств-членов, в которых осуществляют свою деятельность евразийские технологические платформы, в том числе спроса на основные виды инновационной продукции;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разрабатывают предложения по освоению передовых технологий и производства продукции организациями реального сектора экономики государств-членов, содержащие проработку различных технологических альтернатив;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содействуют организации научных, проектных, производственных и иных объединений, направленных на продвижение передовых технологий на территориях государств-членов;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в)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для решения задачи по поиску и содействию развитию приоритетных научно-технических проектов могут в порядке, установленном законодательством государств-членов, вносить предложения в отраслевые программы развития промышленности государств-членов;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г)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для решения задачи по налаживанию сотрудничества государств-членов и поддержке совместных инициатив и совместных проектов: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lastRenderedPageBreak/>
        <w:t>участвуют в реализации приоритетных направлений в научно- технических и инновационных сферах сотрудничества государств- членов путем формирования портфеля проектных предложений, включающих совместные инициативы и совместные проекты;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содействуют участникам в реализации совместных проектов по: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созданию совместных лабораторий, научно-исследовательских центров и станций;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совместному созданию и внедрению инновационной продукции и технологий;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локализации современных технологий;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обмену современными технологиями между государствами- членами;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формированию условий для инновационного развития отрасли и реализации совместных проектов, представляющих взаимный интерес;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осуществляют поиск лучших партнеров для реализации совместных проектов;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проводят консультационную работу при формировании кооперационных партнерств в инновационной сфере и реализации совместных проектов;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организовывают (при необходимости) проведение совместной экспертизы совместных проектов в соответствии с законодательством государств-членов;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проводят работу по привлечению средств из бюджетных и внебюджетных источников финансирования для реализации совместных проектов;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осуществляют иную работу по сопровождению совместных проектов на всех этапах их реализации в соответствии с Договором о Евразийском экономическом союзе от 29 мая 2014 года;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д)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для решения задачи по выявлению барьеров, препятствующих научно-техническому развитию государств-членов, и выработки рекомендаций по их устранению: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вырабатывают предложения по развитию научно-технической и инновационной сфер;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осуществляют консультационную экспертную работу;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е)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для решения задачи по мониторингу результатов научно- технического и инновационного сотрудничества государств-членов: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проводят мониторинг внедрения инновационных технологий и продуктов в организациях реального сектора экономики государств- членов;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проводят мониторинг результатов совместной научно-технической деятельности и инновационного сотрудничества государств-членов;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публикуют обзоры и доклады о передовых национальных и мировых достижениях научно-технического развития и об инновационном развитии реального сектора экономики государств- членов.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lastRenderedPageBreak/>
        <w:t>IV.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Порядок формирования евразийских технологических платформ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Евразийские технологические платформы формируются на основании решений Совета Евразийской экономической комиссии (далее - Комиссия).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 xml:space="preserve"> При принятии решения о создании евразийской технологической платформы участник (участники) от государства-члена согласовывается уполномоченным органом государства-члена.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Комиссия принимает решение о формировании евразийских технологических платформ на основании следующего комплекта документов: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а)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заявление о формировании евразийских технологических платформ, представляемое участниками в Комиссию;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б)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проект учредительного документа, подготовленный участниками, в случае если евразийская технологическая платформа создается с образованием юридического лица;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в)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проект договора между участниками, в случае если евразийская технологическая платформа создается без образования юридического лица;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г)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проект перечня участников евразийских технологических платформ;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д)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обоснование целесообразности формирования евразийских технологических платформ с указанием целей и задач, основных направлений деятельности, их соответствия приоритетам промышленного сотрудничества Союза;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е)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проект перечня совместных проектов.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Евразийская технологическая платформа может быть создана с образованием или без образования юридического лица в порядке, предусмотренном законодательством государств-членов.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Уполномоченный орган государства-члена может определить ответственного за подготовку проектов документов по формированию евразийских технологических платформ в соответствии с законодательством своего государства.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Евразийские технологические платформы в соответствии с профилем своей деятельности могут включать в себя в качестве участников организации крупного (отраслевые промышленные предприятия, государственные компании и др.), малого и среднего бизнеса, научные организации (научно-исследовательские институты, университеты и др.), государственные институты развития, общественные (отраслевые ассоциации и объединения) и иные организации, в том числе из государств, не являющихся членами Союза, а также физических лиц.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Евразийские технологические платформы объединяют участников не менее чем из 3 государств-членов.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 xml:space="preserve">В случае если евразийские технологические платформы созданы с образованием юридического лица, решения участниками евразийских технологических платформ принимаются в соответствии с учредительными </w:t>
      </w:r>
      <w:r w:rsidR="00671EF9" w:rsidRPr="0081569C">
        <w:rPr>
          <w:rFonts w:ascii="Sylfaen" w:hAnsi="Sylfaen"/>
          <w:sz w:val="24"/>
          <w:szCs w:val="24"/>
        </w:rPr>
        <w:lastRenderedPageBreak/>
        <w:t>документами евразийских технологических платформ.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В случае если евразийские технологические платформы созданы без образования юридического лица, решения участниками евразийских технологических платформ принимаются в соответствии с договором между ними.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В случае если евразийские технологические платформы созданы с образованием юридического лица, присоединение участников к евразийским технологическим платформам осуществляется в соответствии с учредительными документами евразийских технологических платформ.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В случае если евразийскиетехнологическиеплатформы созданы без образования юридического лица, присоединение участников к евразийским технологическим платформам осуществляется в соответствии с договором между их участниками.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Организационное и информационное обеспечение деятельности евразийских технологических платформ осуществляется их органами и структурными подразделениями, а также для этих целей могут определяться участники от каждого государства-члена по согласованию с уполномоченным органом соответствующего государства-члена.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Для обеспечения руководства евразийскими технологическими платформами формируется руководящий орган, в который в том числе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входят представители всех государств-членов, организации которых являются участниками евразийских технологических платформ.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Для обеспечения функционирования евразийских</w:t>
      </w:r>
    </w:p>
    <w:p w:rsidR="00D046F6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технологических платформ по мере необходимости формируются органы евразийских технологических платформ: экспертные, координационные, научно-технические советы, рабочие группы, конкурсные и иные комиссии. Расходы, связанные с деятельностью указанных органов, осуществляются за счет средств заинтересованных организаций и участников евразийской технологической платформы.</w:t>
      </w:r>
    </w:p>
    <w:p w:rsidR="0081569C" w:rsidRPr="0081569C" w:rsidRDefault="0081569C" w:rsidP="0081569C">
      <w:pPr>
        <w:pStyle w:val="Bodytext20"/>
        <w:shd w:val="clear" w:color="auto" w:fill="auto"/>
        <w:spacing w:before="0" w:after="120" w:line="240" w:lineRule="auto"/>
        <w:ind w:left="460" w:right="280" w:firstLine="0"/>
        <w:rPr>
          <w:rFonts w:ascii="Sylfaen" w:hAnsi="Sylfaen"/>
          <w:sz w:val="24"/>
          <w:szCs w:val="24"/>
        </w:rPr>
      </w:pP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V.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Порядок финансирования евразийских технологических платформ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Для реализации совместных научно-исследовательских и опытно-конструкторских работ, мероприятий, совместных проектов евразийские технологические платформы обеспечивают привлечение финансирования из: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а)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собственных средств участников евразийских технологических платформ;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б)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средств инвесторов, фондов, общественных и иных заинтересованных организаций;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в)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 xml:space="preserve">средств уполномоченных специализированных национальных организаций в соответствии с их внутренней финансовой политикой на полное или частичное </w:t>
      </w:r>
      <w:r w:rsidRPr="0081569C">
        <w:rPr>
          <w:rFonts w:ascii="Sylfaen" w:hAnsi="Sylfaen"/>
          <w:sz w:val="24"/>
          <w:szCs w:val="24"/>
        </w:rPr>
        <w:lastRenderedPageBreak/>
        <w:t>финансирование национальных частей совместных мероприятий, совместных проектов;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г)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бюджетов государств-членов на полное или частичное финансирование национальных частей совместных научно- исследовательских и опытно-конструкторских работ, мероприятий, совместных проектов в рамках соответствующих государственных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программ, инструментов государственной поддержки в соответствии с законодательством этих государств;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д)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средств международных финансовых организаций в соответствии с их внутренней финансовой политикой на полное или частичное финансирование совместных проектов;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е)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средств бюджета Союза на полное или частичное финансирование научно-исследовательских работ, проводимых для нужд Комиссии, в целях реализации промышленного сотрудничества в рамках Союза и мероприятий по созданию информационных систем и формированию баз данных в рамках интегрированной информационной системы Союза.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В перечень мероприятий, реализуемых в составе совместных проектов, могут включаться: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а)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мероприятия по разработке стратегий, программ и иных документов развития, реализуемые Комиссией и государственными органами в рамках возложенных на них полномочий;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б)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мероприятия по созданию информационных систем и формированию баз данных в рамках интегрированной информационной системы Союза и научно-исследовательские работы, проводимые для нужд Комиссии, в целях реализации промышленного сотрудничества в рамках Союза.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Участники евразийских технологических платформ отвечают по своим обязательствам в соответствии с законодательством соответствующего государства-члена.</w:t>
      </w:r>
    </w:p>
    <w:p w:rsidR="0081569C" w:rsidRDefault="0081569C" w:rsidP="0081569C">
      <w:pPr>
        <w:pStyle w:val="Bodytext20"/>
        <w:shd w:val="clear" w:color="auto" w:fill="auto"/>
        <w:spacing w:before="0" w:after="120" w:line="240" w:lineRule="auto"/>
        <w:ind w:left="2268" w:right="2269" w:firstLine="0"/>
        <w:jc w:val="left"/>
        <w:rPr>
          <w:rFonts w:ascii="Sylfaen" w:hAnsi="Sylfaen"/>
          <w:sz w:val="24"/>
          <w:szCs w:val="24"/>
        </w:rPr>
      </w:pP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VI.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Порядок координации деятельности евразийских технологических платформ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Общую координацию взаимодействия государств-членов по вопросам формирования и функционирования евразийских технологических платформ осуществляет Комиссия.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Комиссия совместно с уполномоченными органами государств-членов осуществляет: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а)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организацию круглых столов, совещаний и видеоконференций в целях развития и продвижения деятельности евразийских технологических платформ в среде профильных организаций государств-членов;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б)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 xml:space="preserve">аккумулирование лучшей практики формирования и обеспечения </w:t>
      </w:r>
      <w:r w:rsidRPr="0081569C">
        <w:rPr>
          <w:rFonts w:ascii="Sylfaen" w:hAnsi="Sylfaen"/>
          <w:sz w:val="24"/>
          <w:szCs w:val="24"/>
        </w:rPr>
        <w:lastRenderedPageBreak/>
        <w:t>функционирования евразийских технологических платформ;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в)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рассмотрение комплектов документов по формированию евразийских технологических платформ, предусмотренных настоящим Положением;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г)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подготовку ежегодно по результатам мониторинга, указанного в подпункте «ж» пункта 5 настоящего Положения, и на основании соответствующих документов евразийских технологических платформ о результатах проделанной работы доклада о результатах деятельности евразийских технологических платформ для принятия государствами- членами решений, направленных на повышение эффективности функционирования и стимулирование деятельности евразийских технологических платформ;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д)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разработку предложений о повышении эффективности функционирования евразийских технологических платформ и их внесение на рассмотрение Евразийского межправительственного совета.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26.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Уполномоченные органы государств-членов осуществляют: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а)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рассмотрение комплектов документов по формированию евразийских технологических платформ;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б)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координацию работы организаций государства-члена по присоединению и участию в евразийских технологических платформах;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в)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согласование участников евразийских технологических платформ на этапе принятия решения о создании евразийских технологических платформ, а также участников от государства-члена, осуществляющих организационное и информационное обеспечение деятельности евразийских технологических платформ;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г)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участие в мониторинге деятельности евразийских технологических платформ, включая реализацию совместных проектов;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д)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участие в разработке предложений о повышении эффективности функционирования евразийских технологических платформ.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В целях проведения мониторинга, предусмотренного подпунктом «ж» пункта 5 настоящего Положения, органами евразийских технологических платформ ежегодно, до 1 июня, осуществляется подготовка следующих документов: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а)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перечень участников на конец отчетного года;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б)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план действий на следующий год;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в)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отчет о реализации совместных проектов;</w:t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г)</w:t>
      </w:r>
      <w:r w:rsidR="0081569C">
        <w:rPr>
          <w:rFonts w:ascii="Sylfaen" w:hAnsi="Sylfaen"/>
          <w:sz w:val="24"/>
          <w:szCs w:val="24"/>
        </w:rPr>
        <w:t xml:space="preserve"> </w:t>
      </w:r>
      <w:r w:rsidRPr="0081569C">
        <w:rPr>
          <w:rFonts w:ascii="Sylfaen" w:hAnsi="Sylfaen"/>
          <w:sz w:val="24"/>
          <w:szCs w:val="24"/>
        </w:rPr>
        <w:t>актуализированный перечень совместных проектов на следующий год.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28.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 xml:space="preserve">Для координации работы по формированию и стимулированию развития евразийских технологических платформ Комиссия совместно с уполномоченными органами государств-членов организует постоянно действующую площадку, в рамках которой организуются встречи потенциальных участников евразийских </w:t>
      </w:r>
      <w:r w:rsidR="00671EF9" w:rsidRPr="0081569C">
        <w:rPr>
          <w:rFonts w:ascii="Sylfaen" w:hAnsi="Sylfaen"/>
          <w:sz w:val="24"/>
          <w:szCs w:val="24"/>
        </w:rPr>
        <w:lastRenderedPageBreak/>
        <w:t>технологических платформ, проводится обсуждение участниками евразийских технологических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платформ актуальных направлений развития и вопросов устранения барьеров для развития, прорабатываются предложения по стимулированию евразийских технологических платформ.</w:t>
      </w:r>
    </w:p>
    <w:p w:rsidR="0081569C" w:rsidRDefault="0081569C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D046F6" w:rsidRPr="0081569C" w:rsidRDefault="00671EF9" w:rsidP="0081569C">
      <w:pPr>
        <w:pStyle w:val="Bodytext20"/>
        <w:shd w:val="clear" w:color="auto" w:fill="auto"/>
        <w:spacing w:before="0" w:after="120" w:line="240" w:lineRule="auto"/>
        <w:ind w:left="5670" w:firstLine="0"/>
        <w:jc w:val="center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lastRenderedPageBreak/>
        <w:t>ПРИЛОЖЕНИЕ</w:t>
      </w:r>
    </w:p>
    <w:p w:rsidR="00D046F6" w:rsidRDefault="00671EF9" w:rsidP="0081569C">
      <w:pPr>
        <w:pStyle w:val="Bodytext20"/>
        <w:shd w:val="clear" w:color="auto" w:fill="auto"/>
        <w:spacing w:before="0" w:after="120" w:line="240" w:lineRule="auto"/>
        <w:ind w:left="5670" w:firstLine="380"/>
        <w:jc w:val="center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 xml:space="preserve">к Решению Евразийского межправительственного совета от  13 апреля </w:t>
      </w:r>
      <w:r w:rsidRPr="0081569C">
        <w:rPr>
          <w:rStyle w:val="Bodytext2Spacing1pt"/>
          <w:rFonts w:ascii="Sylfaen" w:hAnsi="Sylfaen"/>
          <w:spacing w:val="0"/>
          <w:sz w:val="24"/>
          <w:szCs w:val="24"/>
          <w:lang w:val="ru-RU"/>
        </w:rPr>
        <w:t>20</w:t>
      </w:r>
      <w:r w:rsidRPr="0081569C">
        <w:rPr>
          <w:rStyle w:val="Bodytext2Spacing1pt"/>
          <w:rFonts w:ascii="Sylfaen" w:hAnsi="Sylfaen"/>
          <w:spacing w:val="0"/>
          <w:sz w:val="24"/>
          <w:szCs w:val="24"/>
        </w:rPr>
        <w:t>l</w:t>
      </w:r>
      <w:r w:rsidRPr="0081569C">
        <w:rPr>
          <w:rStyle w:val="Bodytext2Spacing1pt"/>
          <w:rFonts w:ascii="Sylfaen" w:hAnsi="Sylfaen"/>
          <w:spacing w:val="0"/>
          <w:sz w:val="24"/>
          <w:szCs w:val="24"/>
          <w:lang w:val="ru-RU"/>
        </w:rPr>
        <w:t xml:space="preserve">6 </w:t>
      </w:r>
      <w:r w:rsidRPr="0081569C">
        <w:rPr>
          <w:rFonts w:ascii="Sylfaen" w:hAnsi="Sylfaen"/>
          <w:sz w:val="24"/>
          <w:szCs w:val="24"/>
        </w:rPr>
        <w:t>г. № 2</w:t>
      </w:r>
    </w:p>
    <w:p w:rsidR="0081569C" w:rsidRPr="0081569C" w:rsidRDefault="0081569C" w:rsidP="0081569C">
      <w:pPr>
        <w:pStyle w:val="Bodytext20"/>
        <w:shd w:val="clear" w:color="auto" w:fill="auto"/>
        <w:spacing w:before="0" w:after="120" w:line="240" w:lineRule="auto"/>
        <w:ind w:left="5670" w:firstLine="380"/>
        <w:jc w:val="center"/>
        <w:rPr>
          <w:rFonts w:ascii="Sylfaen" w:hAnsi="Sylfaen"/>
          <w:sz w:val="24"/>
          <w:szCs w:val="24"/>
        </w:rPr>
      </w:pPr>
    </w:p>
    <w:p w:rsidR="00D046F6" w:rsidRPr="0081569C" w:rsidRDefault="00671EF9" w:rsidP="0081569C">
      <w:pPr>
        <w:pStyle w:val="Bodytext30"/>
        <w:shd w:val="clear" w:color="auto" w:fill="auto"/>
        <w:spacing w:before="0" w:after="120" w:line="240" w:lineRule="auto"/>
        <w:ind w:left="1985" w:right="1985"/>
        <w:rPr>
          <w:rFonts w:ascii="Sylfaen" w:hAnsi="Sylfaen"/>
          <w:sz w:val="24"/>
          <w:szCs w:val="24"/>
        </w:rPr>
      </w:pPr>
      <w:r w:rsidRPr="0081569C">
        <w:rPr>
          <w:rStyle w:val="Bodytext315pt0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D046F6" w:rsidRDefault="00671EF9" w:rsidP="0081569C">
      <w:pPr>
        <w:pStyle w:val="Bodytext30"/>
        <w:shd w:val="clear" w:color="auto" w:fill="auto"/>
        <w:spacing w:before="0" w:after="120" w:line="240" w:lineRule="auto"/>
        <w:ind w:left="1985" w:right="1985"/>
        <w:rPr>
          <w:rStyle w:val="Bodytext315pt"/>
          <w:rFonts w:ascii="Sylfaen" w:hAnsi="Sylfaen"/>
          <w:b/>
          <w:bCs/>
          <w:sz w:val="24"/>
          <w:szCs w:val="24"/>
        </w:rPr>
      </w:pPr>
      <w:r w:rsidRPr="0081569C">
        <w:rPr>
          <w:rStyle w:val="Bodytext315pt"/>
          <w:rFonts w:ascii="Sylfaen" w:hAnsi="Sylfaen"/>
          <w:b/>
          <w:bCs/>
          <w:sz w:val="24"/>
          <w:szCs w:val="24"/>
        </w:rPr>
        <w:t>направлений по формированию евразийских</w:t>
      </w:r>
      <w:r w:rsidR="0081569C">
        <w:rPr>
          <w:rStyle w:val="Bodytext315pt"/>
          <w:rFonts w:ascii="Sylfaen" w:hAnsi="Sylfaen"/>
          <w:b/>
          <w:bCs/>
          <w:sz w:val="24"/>
          <w:szCs w:val="24"/>
        </w:rPr>
        <w:t xml:space="preserve"> </w:t>
      </w:r>
      <w:r w:rsidRPr="0081569C">
        <w:rPr>
          <w:rStyle w:val="Bodytext315pt"/>
          <w:rFonts w:ascii="Sylfaen" w:hAnsi="Sylfaen"/>
          <w:b/>
          <w:bCs/>
          <w:sz w:val="24"/>
          <w:szCs w:val="24"/>
        </w:rPr>
        <w:t>технологических платформ</w:t>
      </w:r>
    </w:p>
    <w:p w:rsidR="0081569C" w:rsidRPr="0081569C" w:rsidRDefault="0081569C" w:rsidP="0081569C">
      <w:pPr>
        <w:pStyle w:val="Bodytext30"/>
        <w:shd w:val="clear" w:color="auto" w:fill="auto"/>
        <w:spacing w:before="0" w:after="120" w:line="240" w:lineRule="auto"/>
        <w:ind w:left="60"/>
        <w:rPr>
          <w:rFonts w:ascii="Sylfaen" w:hAnsi="Sylfaen"/>
          <w:sz w:val="24"/>
          <w:szCs w:val="24"/>
        </w:rPr>
      </w:pP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left="567" w:firstLine="0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Медицинские и медицинские биотехнологии, фармация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left="567" w:firstLine="0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Информационно-коммуникационные технологии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left="567" w:firstLine="0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Фотоника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left="567" w:firstLine="0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Авиакосмические технологии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left="567" w:firstLine="0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Ядерные и радиационные технологии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left="567" w:firstLine="0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Энергетика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left="567" w:firstLine="0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Технологии транспорта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left="567" w:firstLine="0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Технологии металлургии и новые материалы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left="567" w:firstLine="0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Добыча природных ресурсов и нефтегазопереработка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left="567" w:firstLine="0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Химия и нефтехимия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left="567" w:firstLine="0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Электроника и технологии машиностроения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left="567" w:firstLine="0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Экологическое развитие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left="567" w:firstLine="0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Промышленные технологии</w:t>
      </w:r>
    </w:p>
    <w:p w:rsidR="00D046F6" w:rsidRPr="0081569C" w:rsidRDefault="0081569C" w:rsidP="0081569C">
      <w:pPr>
        <w:pStyle w:val="Bodytext20"/>
        <w:shd w:val="clear" w:color="auto" w:fill="auto"/>
        <w:spacing w:before="0" w:after="120" w:line="240" w:lineRule="auto"/>
        <w:ind w:left="567" w:firstLine="0"/>
        <w:rPr>
          <w:rFonts w:ascii="Sylfaen" w:hAnsi="Sylfaen"/>
          <w:sz w:val="24"/>
          <w:szCs w:val="24"/>
        </w:rPr>
      </w:pPr>
      <w:r w:rsidRPr="0081569C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671EF9" w:rsidRPr="0081569C">
        <w:rPr>
          <w:rFonts w:ascii="Sylfaen" w:hAnsi="Sylfaen"/>
          <w:sz w:val="24"/>
          <w:szCs w:val="24"/>
        </w:rPr>
        <w:t>Сельское хозяйство, пищевая промышленность, биотехнологии</w:t>
      </w:r>
    </w:p>
    <w:p w:rsidR="00D046F6" w:rsidRPr="0081569C" w:rsidRDefault="00D046F6" w:rsidP="0081569C">
      <w:pPr>
        <w:spacing w:after="120"/>
        <w:rPr>
          <w:rFonts w:ascii="Sylfaen" w:hAnsi="Sylfaen"/>
        </w:rPr>
      </w:pPr>
    </w:p>
    <w:sectPr w:rsidR="00D046F6" w:rsidRPr="0081569C" w:rsidSect="0081569C">
      <w:type w:val="continuous"/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D0A" w:rsidRDefault="003E3D0A" w:rsidP="00D046F6">
      <w:r>
        <w:separator/>
      </w:r>
    </w:p>
  </w:endnote>
  <w:endnote w:type="continuationSeparator" w:id="0">
    <w:p w:rsidR="003E3D0A" w:rsidRDefault="003E3D0A" w:rsidP="00D0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D0A" w:rsidRDefault="003E3D0A"/>
  </w:footnote>
  <w:footnote w:type="continuationSeparator" w:id="0">
    <w:p w:rsidR="003E3D0A" w:rsidRDefault="003E3D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6966"/>
    <w:multiLevelType w:val="multilevel"/>
    <w:tmpl w:val="5908F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332F8D"/>
    <w:multiLevelType w:val="multilevel"/>
    <w:tmpl w:val="0D8E6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F223C3"/>
    <w:multiLevelType w:val="multilevel"/>
    <w:tmpl w:val="58620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5E2621"/>
    <w:multiLevelType w:val="multilevel"/>
    <w:tmpl w:val="E47268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F6"/>
    <w:rsid w:val="0012338A"/>
    <w:rsid w:val="00336BE6"/>
    <w:rsid w:val="003E3D0A"/>
    <w:rsid w:val="00671EF9"/>
    <w:rsid w:val="0081569C"/>
    <w:rsid w:val="00D046F6"/>
    <w:rsid w:val="00F6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46F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46F6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5pt">
    <w:name w:val="Heading #1 + 15 pt"/>
    <w:basedOn w:val="Heading1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04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D04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7pt">
    <w:name w:val="Body text (2) + 17 pt"/>
    <w:basedOn w:val="Bodytext2"/>
    <w:rsid w:val="00D04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15pt0">
    <w:name w:val="Body text (3) + 15 pt"/>
    <w:aliases w:val="Spacing 2 pt"/>
    <w:basedOn w:val="Bodytext3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1pt">
    <w:name w:val="Body text (2) + Spacing 1 pt"/>
    <w:basedOn w:val="Bodytext2"/>
    <w:rsid w:val="00D04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en-US" w:eastAsia="en-US" w:bidi="en-US"/>
    </w:rPr>
  </w:style>
  <w:style w:type="paragraph" w:customStyle="1" w:styleId="Heading10">
    <w:name w:val="Heading #1"/>
    <w:basedOn w:val="Normal"/>
    <w:link w:val="Heading1"/>
    <w:rsid w:val="00D046F6"/>
    <w:pPr>
      <w:shd w:val="clear" w:color="auto" w:fill="FFFFFF"/>
      <w:spacing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rsid w:val="00D046F6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D046F6"/>
    <w:pPr>
      <w:shd w:val="clear" w:color="auto" w:fill="FFFFFF"/>
      <w:spacing w:before="420" w:after="600" w:line="0" w:lineRule="atLeast"/>
      <w:ind w:hanging="10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D046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214pt">
    <w:name w:val="Body text (2) + 14 pt"/>
    <w:aliases w:val="Bold,Body text (2) + 13 pt"/>
    <w:basedOn w:val="Bodytext2"/>
    <w:rsid w:val="00336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46F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46F6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5pt">
    <w:name w:val="Heading #1 + 15 pt"/>
    <w:basedOn w:val="Heading1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04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D04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7pt">
    <w:name w:val="Body text (2) + 17 pt"/>
    <w:basedOn w:val="Bodytext2"/>
    <w:rsid w:val="00D04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15pt0">
    <w:name w:val="Body text (3) + 15 pt"/>
    <w:aliases w:val="Spacing 2 pt"/>
    <w:basedOn w:val="Bodytext3"/>
    <w:rsid w:val="00D046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1pt">
    <w:name w:val="Body text (2) + Spacing 1 pt"/>
    <w:basedOn w:val="Bodytext2"/>
    <w:rsid w:val="00D04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en-US" w:eastAsia="en-US" w:bidi="en-US"/>
    </w:rPr>
  </w:style>
  <w:style w:type="paragraph" w:customStyle="1" w:styleId="Heading10">
    <w:name w:val="Heading #1"/>
    <w:basedOn w:val="Normal"/>
    <w:link w:val="Heading1"/>
    <w:rsid w:val="00D046F6"/>
    <w:pPr>
      <w:shd w:val="clear" w:color="auto" w:fill="FFFFFF"/>
      <w:spacing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rsid w:val="00D046F6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D046F6"/>
    <w:pPr>
      <w:shd w:val="clear" w:color="auto" w:fill="FFFFFF"/>
      <w:spacing w:before="420" w:after="600" w:line="0" w:lineRule="atLeast"/>
      <w:ind w:hanging="10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D046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214pt">
    <w:name w:val="Body text (2) + 14 pt"/>
    <w:aliases w:val="Bold,Body text (2) + 13 pt"/>
    <w:basedOn w:val="Bodytext2"/>
    <w:rsid w:val="00336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2017-05-26T06:15:00Z</dcterms:created>
  <dcterms:modified xsi:type="dcterms:W3CDTF">2017-05-26T06:15:00Z</dcterms:modified>
</cp:coreProperties>
</file>