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E00" w:rsidRDefault="00071E00" w:rsidP="00071E00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ПРИЛОЖЕНИЕ N 1 </w:t>
      </w:r>
    </w:p>
    <w:p w:rsidR="00071E00" w:rsidRDefault="00071E00" w:rsidP="00071E00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к Таможенному кодексу </w:t>
      </w:r>
    </w:p>
    <w:p w:rsidR="00071E00" w:rsidRDefault="00071E00" w:rsidP="00071E00">
      <w:pPr>
        <w:tabs>
          <w:tab w:val="left" w:pos="9923"/>
          <w:tab w:val="left" w:pos="10206"/>
        </w:tabs>
        <w:autoSpaceDE w:val="0"/>
        <w:autoSpaceDN w:val="0"/>
        <w:adjustRightInd w:val="0"/>
        <w:spacing w:after="0" w:line="240" w:lineRule="atLeast"/>
        <w:ind w:left="3685"/>
        <w:jc w:val="center"/>
        <w:textAlignment w:val="center"/>
        <w:rPr>
          <w:rFonts w:ascii="GHEA Grapalat" w:hAnsi="GHEA Grapalat" w:cs="GHEA Grapalat"/>
          <w:b/>
          <w:bCs/>
          <w:color w:val="000000"/>
          <w:sz w:val="19"/>
          <w:szCs w:val="19"/>
        </w:rPr>
      </w:pPr>
      <w:r>
        <w:rPr>
          <w:rFonts w:ascii="GHEA Grapalat" w:hAnsi="GHEA Grapalat" w:cs="GHEA Grapalat"/>
          <w:b/>
          <w:bCs/>
          <w:color w:val="000000"/>
          <w:sz w:val="19"/>
          <w:szCs w:val="19"/>
        </w:rPr>
        <w:t xml:space="preserve">Евразийского экономического союза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before="113" w:after="57" w:line="30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</w:pPr>
      <w:r>
        <w:rPr>
          <w:rFonts w:ascii="Minion Pro" w:hAnsi="Minion Pro" w:cs="Minion Pro"/>
          <w:b/>
          <w:bCs/>
          <w:color w:val="000000"/>
          <w:spacing w:val="5"/>
          <w:sz w:val="26"/>
          <w:szCs w:val="26"/>
        </w:rPr>
        <w:t xml:space="preserve">ПОРЯДОК </w:t>
      </w:r>
    </w:p>
    <w:p w:rsidR="00071E00" w:rsidRDefault="00071E00" w:rsidP="00071E00">
      <w:pPr>
        <w:autoSpaceDE w:val="0"/>
        <w:autoSpaceDN w:val="0"/>
        <w:adjustRightInd w:val="0"/>
        <w:spacing w:before="113" w:after="57" w:line="260" w:lineRule="atLeast"/>
        <w:jc w:val="center"/>
        <w:textAlignment w:val="center"/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</w:pP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взаимодействия таможенн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ых органов государств – членов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Евразийского экономического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союза при взыскании таможенных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пошлин, налогов, специальных, ан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тидемпинговых, компенсационных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пошлин при перевозке (транспортир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овке) товаров в соответствии с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таможенной процедурой таможенного транзита и перечисления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br/>
        <w:t>взысканных сумм таможенных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 пошлин, налогов, специальных,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>антидемпинговых, компенсационн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ых пошлин в государство – член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Евразийского экономического союза, в котором подлежат уплате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br/>
        <w:t>таможенные пошлины, налоги,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 специальные, антидемпинговые, </w:t>
      </w:r>
      <w:r>
        <w:rPr>
          <w:rFonts w:ascii="Minion Pro" w:hAnsi="Minion Pro" w:cs="Minion Pro"/>
          <w:b/>
          <w:bCs/>
          <w:color w:val="000000"/>
          <w:sz w:val="21"/>
          <w:szCs w:val="21"/>
          <w:lang w:val="ru-RU"/>
        </w:rPr>
        <w:t xml:space="preserve">компенсационные пошлины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1. Настоящий Порядок применяется в случаях, когда таможенные пошлины, налоги, специальные, антидемпинговые, компенсационные пошлины в соответствии со статьями 61, 74 и 266 Таможенного кодекса Евразийского экономического союза (далее – Кодекс) подлежат уплате в одном государстве – члене Евразийского экономического союза (далее соответственно – государство-член, Союз), а взыскание таможенных пошлин, налогов, специальных, антидемпинговых, компенсационных пошлин в соответствии с пунктом 3 статьи 69, пунктом 5 статьи 77 и пунктом 12 статьи 270 Кодекса осуществляется таможенным органом другого государства-члена, таможенному органу которого предоставлено обеспечение 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 при перевозке (транспортировке) товаров в соответствии с таможенной процедурой таможенного транзита, или таможенным органом которого лицо, выступавшее декларантом товаров, помещенных под таможенную процедуру таможенного транзита, включено в реестр таможенных перевозчиков, либо реестр уполномоченных экономических операторов, или таможенному органу которого предоставлено обеспечение исполнения обязанности по уплате таможенных пошлин, налогов в отношении транспортных средств для личного пользования, временно ввезенных на таможенную территорию Союза иностранными физическими лицами.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2. Для целей настоящего Порядка используются понятия, которые означают следующее: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«единый счет уполномоченного органа» – счет, открытый уполномоченному органу государства-члена в национальном (центральном) банке либо в уполномоченном органе государства-члена, имеющем корреспондентский счет в национальном (центральном) банке, для зачисления и распределения поступлений между бюджетами этого государства-члена;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«счет временного размещения денег таможенного органа» – счет, открытый таможенному органу Республики Казахстан в уполномоченном органе для зачисления сумм обеспечения исполнения обязанности по уплате таможенных пошлин, налогов и обеспечения исполнения обязанности по уплате специальных, антидемпинговых, компенсационных пошлин;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«счет в иностранной валюте» – счет, открытый уполномоченному органу одного государства-члена в национальном (центральном) банке в валюте другого государства-члена для зачисления поступлений от распределения ввозных таможенных пошлин, специальных, антидемпинговых, компенсационных пошлин другими государствами-членами;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«уполномоченный орган» – государственный орган государства-члена, осуществляющий кассовое обслуживание исполнения бюджета этого государства-члена;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«центральные таможенные органы» – государственные органы государств-членов, уполномоченные в сфере таможенного дела.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3. Таможенный орган государства-члена, в котором в соответствии со статьями 61, 74 и 266 Кодекса подлежат уплате таможенные пошлины, налоги, специальные, антидемпинговые, компенсационные пошлины, направляет сопроводительным письмом таможенному органу, определенному законодательством о таможенном регулировании государства-члена, таможенному органу которого предоставлено обеспечение </w:t>
      </w:r>
      <w:r>
        <w:rPr>
          <w:rFonts w:ascii="Sylfaen" w:hAnsi="Sylfaen" w:cs="Sylfaen"/>
          <w:color w:val="000000"/>
          <w:lang w:val="ru-RU"/>
        </w:rPr>
        <w:lastRenderedPageBreak/>
        <w:t xml:space="preserve">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 или таможенным органом которого лицо, выступавшее декларантом товаров, помещенных под таможенную процедуру таможенного транзита, включено в реестр таможенных перевозчиков либо реестр уполномоченных экономических операторов, следующие документы: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1) заверенная копия документа, которым в соответствии с пунктом 3 статьи 55, пунктом 3 статьи 73 и пунктом 4 статьи 270 Кодекса таможенный орган уведомляет плательщика таможенных пошлин, налогов, специальных, антидемпинговых, компенсационных пошлин, а также лиц, которые в соответствии с Кодексом и (или) законодательством государств-членов о таможенном регулировании несут с плательщиком таможенных пошлин, налогов, специальных, антидемпинговых, компенсационных пошлин солидарную или субсидиарную обязанность по уплате таможенных пошлин, налогов, специальных, антидемпинговых, компенсационных пошлин, о не уплаченных в установленный срок суммах таможенных пошлин, налогов, специальных, антидемпинговых, компенсационных пошлин;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2) заверенные копии документов, которые получены в ходе проведения таможенного контроля и (или) составлены по результатам проведения такого контроля, в ходе административного производства (процесса), расследования по уголовным делам либо проверки, ведение (проведение) которых осуществляется в соответствии с законодательством государств-членов таможенными или иными государственными органами государств-членов, и подтверждают нахождение иностранных товаров на территории государства-члена, таможенный орган которого не производил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 или их ввоз на территорию этого государства-члена. Копии таких документов не направляются в случае, если таможенные пошлины, налоги, специальные, антидемпинговые, компенсационные пошлины в соответствии со статьями 61, 74 и 266 Кодекса подлежат уплате в государстве-члене, таможенный орган которого произвел выпуск товаров в соответствии с таможенной процедурой таможенного транзита либо выпуск транспортных средств для личного пользования для временного нахождения на таможенной территории Союза.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4. Сопроводительное письмо должно содержать сведения: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1) о регистрационном номере транзитной декларации либо регистрационном номере пассажирской таможенной декларации;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2) о регистрационном номере сертификата обеспечения (при наличии сертификата обеспечения), таможенном перевозчике либо уполномоченном экономическом операторе;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3) о сумме подлежащих взысканию и перечислению таможенных пошлин, налогов, специальных, антидемпинговых, компенсационных пошлин по видам или сумме подлежащих взысканию и перечислению таможенных пошлин, налогов, взимаемых по единым ставкам, либо таможенных пошлин, налогов в виде совокупного таможенного платежа в валюте государства-члена, в котором в соответствии со статьями 61, 74 и 266 Кодекса подлежат уплате таможенные пошлины, налоги, специальные, антидемпинговые, компенсационные пошлины;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4) о коде бюджетной классификации, по которому подлежат зачислению взысканные денежные средства (деньги).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5. Таможенный орган, определенный законодательством о таможенном регулировании государства-члена, таможенному органу которого предоставлено обеспечение 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 или таможенным органом которого лицо, выступавшее декларантом товаров, помещенных под таможенную процедуру таможенного транзита, включено в реестр таможенных перевозчиков либо реестр уполномоченных экономических операторов, осуществляет взыскание таможенных пошлин, налогов, специальных, антидемпинговых, компенсационных пошлин в порядке, устанавливаемом законодательством этого государства на основании документов, указанных в пункте 3 настоящего Порядка.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lastRenderedPageBreak/>
        <w:t xml:space="preserve">Таможенные пошлины, налоги, специальные, антидемпинговые, компенсационные пошлины взыскиваются в валюте государства-члена, таможенным органом которого осуществляется взыскание таможенных пошлин, налогов, специальных, антидемпинговых, компенсационных пошлин.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Пересчет валюты государства-члена, в котором в соответствии со статьями 61, 74 и 266 Кодекса подлежат уплате таможенные пошлины, налоги, специальные, антидемпинговые, компенсационные пошлины, в валюту государства-члена, таможенным органом которого осуществляется взыскание таможенных пошлин, налогов, специальных, антидемпинговых, компенсационных пошлин, производится по курсу валют, действующему на день регистрации сопроводительного письма, указанного в пункте 3 настоящего Порядка, в таможенном органе, которым осуществляется взыскание таможенных пошлин, налогов, специальных, антидемпинговых, компенсационных пошлин.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6. Таможенные пошлины, налоги, специальные, антидемпинговые, компенсационные пошлины, взысканные в соответствии с пунктом 5 настоящего Порядка, подлежат перечислению на счет в иностранной валюте, в котором подлежат уплате таможенные пошлины, налоги, специальные, антидемпинговые, компенсационные пошлины, в следующие сроки: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1) при взыскании таможенных пошлин, налогов, специальных, антидемпинговых, компенсационных пошлин за счет обеспечения 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пошлин, предоставленного путем внесения денежных средств (денег), – не позднее 12 рабочих дней со дня получения документов, указанных в пункте 3 настоящего Порядка;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2) при взыскании таможенных пошлин, налогов, специальных, антидемпинговых, компенсационных пошлин за счет обеспечения 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пошлин, предоставленного иными способами, чем внесение денежных средств (денег), а также при взыскании таможенных пошлин, налогов, специальных, антидемпинговых, компенсационных пошлин с таможенных перевозчиков либо уполномоченных экономических операторов – не позднее 12 рабочих дней со дня поступления денежных средств (денег) на единый счет уполномоченного органа (счет временного размещения денежных средств (денег) таможенного органа) государства-члена, таможенному органу которого предоставлено обеспечение исполнения обязанности по уплате таможенных пошлин, налогов и (или) обеспечение исполнения обязанности по уплате специальных, антидемпинговых, компенсационных пошлин или таможенным органом которого лицо, выступавшее декларантом товаров, помещенных под таможенную процедуру таможенного транзита, включено в реестр таможенных перевозчиков либо реестр уполномоченных экономических операторов.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7. Таможенные пошлины, налоги, специальные, антидемпинговые, компенсационные пошлины, подлежащие перечислению в соответствии с пунктом 6 настоящего Порядка, учитываются на едином счете уполномоченного органа по отдельным кодам бюджетной классификации, предназначенным для перечисления взысканных денежных средств (денег) другим государствам-членам, а в Республике Казахстан – на счете временного размещения денег таможенного органа.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8. Таможенный орган государства-члена, осуществивший взыскание таможенных пошлин, налогов, специальных, антидемпинговых, компенсационных пошлин в соответствии с пунктом 5 настоящего Порядка, не позднее 3 рабочих дней до истечения срока, установленного пунктом 6 настоящего Порядка, направляет поручение в уполномоченный орган своего государства на перечисление взысканных денежных средств (денег) на счет в иностранной валюте государства-члена, в котором подлежат уплате таможенные пошлины, налоги, специальные, антидемпинговые, компенсационные пошлины.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Перечисление взысканных денежных средств (денег) на счет в иностранной валюте государства-члена, в котором подлежат уплате таможенные пошлины, налоги, специальные, антидемпинговые, компенсационные пошлины, осуществляется уполномоченным органом в полном объеме не позднее 3 рабочих дней со дня направления соответствующего поручения таможенного органа.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В расчетном (платежном) документе (инструкции) указываются код бюджетной классификации, по которому подлежат зачислению взысканные денежные средства (деньги) и сведения о котором содержатся в </w:t>
      </w:r>
      <w:r>
        <w:rPr>
          <w:rFonts w:ascii="Sylfaen" w:hAnsi="Sylfaen" w:cs="Sylfaen"/>
          <w:color w:val="000000"/>
          <w:lang w:val="ru-RU"/>
        </w:rPr>
        <w:lastRenderedPageBreak/>
        <w:t xml:space="preserve">указанном в пункте 4 настоящего Порядка сопроводительном письме таможенного органа, а также дата и номер такого сопроводительного письма.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9. Взысканные в соответствии с пунктом 5 настоящего Порядка денежные средства (деньги), поступившие на счет в иностранной валюте государства-члена, в котором подлежат уплате таможенные пошлины, налоги, специальные, антидемпинговые, компенсационные пошлины, от уполномоченных органов других государств-членов, перечисляются в доход бюджета этого государства-члена в порядке, установленном для зачисления и распределения ввозных таможенных пошлин, специальных, антидемпинговых, компенсационных пошлин в части перечисления в доход бюджета государства-члена сумм от распределения ввозных таможенных пошлин, специальных, антидемпинговых, компенсационных пошлин.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Взысканные в соответствии пунктом 5 настоящего Порядка денежные средства (деньги), перечисленные в доход бюджета государства-члена от других государств-членов, подлежат зачету таможенным органом этого государства-члена в счет таможенных пошлин, налогов, специальных, антидемпинговых, компенсационных пошлин по соответствующим кодам бюджетной классификации не позднее 10 рабочих дней со дня зачисления денежных средств (денег) на счет в иностранной валюте данного государства-члена.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10. Таможенные органы в соответствии со статьей 368 Кодекса обмениваются информацией о перечислении сумм таможенных пошлин, налогов, специальных, антидемпинговых, компенсационных пошлин, взысканных в соответствии с пунктом 3 статьи 69 и пунктом 5 статьи 77 Кодекса.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11. В целях реализации настоящего Порядка центральные таможенные органы обмениваются информацией о таможенных органах, определенных законодательством государств-членов о таможенном регулировании в соответствии с пунктом 3 статьи 69 Кодекса.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12. В целях реализации настоящего Порядка уполномоченные органы обмениваются сведениями о счетах в иностранной валюте своих государств.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В случае изменения реквизитов счета в иностранной валюте одного государства-члена уполномоченный орган этого государства не позднее 10 календарных дней до дня вступления таких изменений в силу доводит до сведения уполномоченных органов других государств-членов уточненные реквизиты счета.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В случае изменения в государстве-члене иных сведений, необходимых для реализации настоящего Порядка, уполномоченный орган этого государства не позднее 3 календарных дней до дня вступления таких изменений в силу доводит до сведения уполномоченных органов других государств-членов информацию об этих изменениях.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13. По согласованию центральных таможенных органов производится обмен иной информацией, чем указанная в пункте 11 настоящего Порядка, необходимой для реализации настоящего Порядка, в электронной форме через центральные таможенные органы. </w:t>
      </w:r>
    </w:p>
    <w:p w:rsidR="00071E00" w:rsidRP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</w:rPr>
      </w:pPr>
      <w:r>
        <w:rPr>
          <w:rFonts w:ascii="Sylfaen" w:hAnsi="Sylfaen" w:cs="Sylfaen"/>
          <w:color w:val="000000"/>
          <w:lang w:val="ru-RU"/>
        </w:rPr>
        <w:t xml:space="preserve">Состав и структура такой информации, формат и регламент обмена такой информацией, а также способы ее защиты определяются центральными таможенными органами. </w:t>
      </w:r>
      <w:bookmarkStart w:id="0" w:name="_GoBack"/>
      <w:bookmarkEnd w:id="0"/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jc w:val="center"/>
        <w:textAlignment w:val="center"/>
        <w:rPr>
          <w:rFonts w:ascii="Sylfaen" w:hAnsi="Sylfaen" w:cs="Sylfaen"/>
          <w:color w:val="000000"/>
          <w:lang w:val="ru-RU"/>
        </w:rPr>
      </w:pPr>
      <w:r>
        <w:rPr>
          <w:rFonts w:ascii="Sylfaen" w:hAnsi="Sylfaen" w:cs="Sylfaen"/>
          <w:color w:val="000000"/>
          <w:lang w:val="ru-RU"/>
        </w:rPr>
        <w:t xml:space="preserve"> _________________</w:t>
      </w: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</w:p>
    <w:p w:rsidR="00071E00" w:rsidRDefault="00071E00" w:rsidP="00071E00">
      <w:pPr>
        <w:tabs>
          <w:tab w:val="left" w:pos="4140"/>
        </w:tabs>
        <w:autoSpaceDE w:val="0"/>
        <w:autoSpaceDN w:val="0"/>
        <w:adjustRightInd w:val="0"/>
        <w:spacing w:after="0" w:line="260" w:lineRule="atLeast"/>
        <w:ind w:firstLine="397"/>
        <w:jc w:val="both"/>
        <w:textAlignment w:val="center"/>
        <w:rPr>
          <w:rFonts w:ascii="Sylfaen" w:hAnsi="Sylfaen" w:cs="Sylfaen"/>
          <w:color w:val="000000"/>
          <w:lang w:val="ru-RU"/>
        </w:rPr>
      </w:pPr>
    </w:p>
    <w:p w:rsidR="00AB1A1F" w:rsidRPr="00071E00" w:rsidRDefault="00AB1A1F" w:rsidP="00071E00"/>
    <w:sectPr w:rsidR="00AB1A1F" w:rsidRPr="00071E00" w:rsidSect="00AB1A1F"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C3E"/>
    <w:rsid w:val="000277AE"/>
    <w:rsid w:val="00071E00"/>
    <w:rsid w:val="00172736"/>
    <w:rsid w:val="00482496"/>
    <w:rsid w:val="007D729A"/>
    <w:rsid w:val="007F4103"/>
    <w:rsid w:val="00A61C3E"/>
    <w:rsid w:val="00AB1A1F"/>
    <w:rsid w:val="00C71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E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0277A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277AE"/>
  </w:style>
  <w:style w:type="paragraph" w:customStyle="1" w:styleId="a">
    <w:name w:val="Ռուսերեն բաժին"/>
    <w:basedOn w:val="BasicParagraph"/>
    <w:uiPriority w:val="99"/>
    <w:rsid w:val="000277AE"/>
    <w:pPr>
      <w:tabs>
        <w:tab w:val="left" w:pos="4140"/>
      </w:tabs>
      <w:spacing w:before="113" w:after="57" w:line="300" w:lineRule="atLeast"/>
      <w:jc w:val="center"/>
    </w:pPr>
    <w:rPr>
      <w:rFonts w:ascii="Minion Pro" w:hAnsi="Minion Pro" w:cs="Minion Pro"/>
      <w:b/>
      <w:bCs/>
      <w:spacing w:val="5"/>
      <w:sz w:val="26"/>
      <w:szCs w:val="26"/>
    </w:rPr>
  </w:style>
  <w:style w:type="paragraph" w:customStyle="1" w:styleId="a0">
    <w:name w:val="Ռուսերեն հոդված"/>
    <w:basedOn w:val="BasicParagraph"/>
    <w:uiPriority w:val="99"/>
    <w:rsid w:val="000277AE"/>
    <w:pPr>
      <w:spacing w:before="113" w:after="57" w:line="260" w:lineRule="atLeast"/>
      <w:ind w:firstLine="397"/>
      <w:jc w:val="both"/>
    </w:pPr>
    <w:rPr>
      <w:rFonts w:ascii="Minion Pro" w:hAnsi="Minion Pro" w:cs="Minion Pro"/>
      <w:b/>
      <w:bCs/>
      <w:sz w:val="21"/>
      <w:szCs w:val="21"/>
      <w:lang w:val="ru-RU"/>
    </w:rPr>
  </w:style>
  <w:style w:type="paragraph" w:customStyle="1" w:styleId="a1">
    <w:name w:val="Ռուսերեն տեքստ"/>
    <w:basedOn w:val="BasicParagraph"/>
    <w:uiPriority w:val="99"/>
    <w:rsid w:val="000277AE"/>
    <w:pPr>
      <w:tabs>
        <w:tab w:val="left" w:pos="4140"/>
      </w:tabs>
      <w:spacing w:line="260" w:lineRule="atLeast"/>
      <w:ind w:firstLine="397"/>
      <w:jc w:val="both"/>
    </w:pPr>
    <w:rPr>
      <w:rFonts w:ascii="Sylfaen" w:hAnsi="Sylfaen" w:cs="Sylfaen"/>
      <w:sz w:val="22"/>
      <w:szCs w:val="22"/>
    </w:rPr>
  </w:style>
  <w:style w:type="paragraph" w:customStyle="1" w:styleId="a2">
    <w:name w:val="Ռուս. բաժին բով."/>
    <w:basedOn w:val="a"/>
    <w:uiPriority w:val="99"/>
    <w:rsid w:val="000277AE"/>
    <w:pPr>
      <w:spacing w:line="240" w:lineRule="atLeast"/>
    </w:pPr>
    <w:rPr>
      <w:spacing w:val="4"/>
      <w:sz w:val="22"/>
      <w:szCs w:val="22"/>
    </w:rPr>
  </w:style>
  <w:style w:type="paragraph" w:customStyle="1" w:styleId="a3">
    <w:name w:val="Հավելված"/>
    <w:basedOn w:val="BasicParagraph"/>
    <w:uiPriority w:val="99"/>
    <w:rsid w:val="000277AE"/>
    <w:pPr>
      <w:tabs>
        <w:tab w:val="left" w:pos="9923"/>
        <w:tab w:val="left" w:pos="10206"/>
      </w:tabs>
      <w:spacing w:line="240" w:lineRule="atLeast"/>
      <w:ind w:left="3685"/>
      <w:jc w:val="center"/>
    </w:pPr>
    <w:rPr>
      <w:rFonts w:ascii="GHEA Grapalat" w:hAnsi="GHEA Grapalat" w:cs="GHEA Grapalat"/>
      <w:b/>
      <w:bCs/>
      <w:sz w:val="19"/>
      <w:szCs w:val="19"/>
    </w:rPr>
  </w:style>
  <w:style w:type="paragraph" w:customStyle="1" w:styleId="a4">
    <w:name w:val="Ռուս բաժին"/>
    <w:basedOn w:val="a2"/>
    <w:uiPriority w:val="99"/>
    <w:rsid w:val="000277AE"/>
    <w:pPr>
      <w:spacing w:line="260" w:lineRule="atLeast"/>
    </w:pPr>
    <w:rPr>
      <w:spacing w:val="5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5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2262</Words>
  <Characters>12897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2</cp:revision>
  <dcterms:created xsi:type="dcterms:W3CDTF">2018-03-19T07:40:00Z</dcterms:created>
  <dcterms:modified xsi:type="dcterms:W3CDTF">2018-03-19T11:09:00Z</dcterms:modified>
</cp:coreProperties>
</file>