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3E" w:rsidRPr="00AD0310" w:rsidRDefault="00DD4FDA" w:rsidP="00A64213">
      <w:pPr>
        <w:pStyle w:val="Bodytext20"/>
        <w:shd w:val="clear" w:color="auto" w:fill="auto"/>
        <w:spacing w:before="0" w:after="120" w:line="240" w:lineRule="auto"/>
        <w:ind w:left="4536" w:right="-8" w:firstLine="0"/>
        <w:jc w:val="center"/>
        <w:rPr>
          <w:rFonts w:ascii="Sylfaen" w:hAnsi="Sylfaen"/>
          <w:sz w:val="24"/>
          <w:szCs w:val="24"/>
        </w:rPr>
      </w:pPr>
      <w:bookmarkStart w:id="0" w:name="_GoBack"/>
      <w:bookmarkEnd w:id="0"/>
      <w:r w:rsidRPr="00AD0310">
        <w:rPr>
          <w:rFonts w:ascii="Sylfaen" w:hAnsi="Sylfaen"/>
          <w:sz w:val="24"/>
          <w:szCs w:val="24"/>
        </w:rPr>
        <w:t>ПРИЛОЖЕНИЕ</w:t>
      </w:r>
    </w:p>
    <w:p w:rsidR="00A17F3E" w:rsidRPr="00AD0310" w:rsidRDefault="00DD4FDA" w:rsidP="00A64213">
      <w:pPr>
        <w:pStyle w:val="Bodytext20"/>
        <w:shd w:val="clear" w:color="auto" w:fill="auto"/>
        <w:spacing w:before="0" w:after="120" w:line="240" w:lineRule="auto"/>
        <w:ind w:left="4536" w:right="-8" w:firstLine="0"/>
        <w:jc w:val="center"/>
        <w:rPr>
          <w:rFonts w:ascii="Sylfaen" w:hAnsi="Sylfaen"/>
          <w:sz w:val="24"/>
          <w:szCs w:val="24"/>
        </w:rPr>
      </w:pPr>
      <w:r w:rsidRPr="00AD0310">
        <w:rPr>
          <w:rFonts w:ascii="Sylfaen" w:hAnsi="Sylfaen"/>
          <w:sz w:val="24"/>
          <w:szCs w:val="24"/>
        </w:rPr>
        <w:t>к Рекомендации Коллегии</w:t>
      </w:r>
      <w:r w:rsidR="00AD0310">
        <w:rPr>
          <w:rFonts w:ascii="Sylfaen" w:hAnsi="Sylfaen"/>
          <w:sz w:val="24"/>
          <w:szCs w:val="24"/>
        </w:rPr>
        <w:t xml:space="preserve"> </w:t>
      </w:r>
      <w:r w:rsidRPr="00AD0310">
        <w:rPr>
          <w:rFonts w:ascii="Sylfaen" w:hAnsi="Sylfaen"/>
          <w:sz w:val="24"/>
          <w:szCs w:val="24"/>
        </w:rPr>
        <w:t>Евразийской экономической комиссии</w:t>
      </w:r>
    </w:p>
    <w:p w:rsidR="00A17F3E" w:rsidRPr="00AD0310" w:rsidRDefault="00DD4FDA" w:rsidP="00A64213">
      <w:pPr>
        <w:pStyle w:val="Bodytext20"/>
        <w:shd w:val="clear" w:color="auto" w:fill="auto"/>
        <w:spacing w:before="0" w:after="120" w:line="240" w:lineRule="auto"/>
        <w:ind w:left="4536" w:right="-8" w:firstLine="0"/>
        <w:jc w:val="center"/>
        <w:rPr>
          <w:rFonts w:ascii="Sylfaen" w:hAnsi="Sylfaen"/>
          <w:sz w:val="24"/>
          <w:szCs w:val="24"/>
        </w:rPr>
      </w:pPr>
      <w:r w:rsidRPr="00AD0310">
        <w:rPr>
          <w:rFonts w:ascii="Sylfaen" w:hAnsi="Sylfaen"/>
          <w:sz w:val="24"/>
          <w:szCs w:val="24"/>
        </w:rPr>
        <w:t>от 24 апреля 2017 г. № 11</w:t>
      </w:r>
    </w:p>
    <w:p w:rsidR="00A64213" w:rsidRDefault="00A64213" w:rsidP="00AD0310">
      <w:pPr>
        <w:pStyle w:val="Bodytext30"/>
        <w:shd w:val="clear" w:color="auto" w:fill="auto"/>
        <w:spacing w:line="240" w:lineRule="auto"/>
        <w:ind w:left="20"/>
        <w:rPr>
          <w:rStyle w:val="Bodytext3Spacing2pt"/>
          <w:rFonts w:ascii="Sylfaen" w:hAnsi="Sylfaen"/>
          <w:b/>
          <w:bCs/>
          <w:spacing w:val="0"/>
          <w:sz w:val="24"/>
          <w:szCs w:val="24"/>
          <w:lang w:val="en-US"/>
        </w:rPr>
      </w:pPr>
    </w:p>
    <w:p w:rsidR="00A17F3E" w:rsidRPr="00AD0310" w:rsidRDefault="00DD4FDA" w:rsidP="00A64213">
      <w:pPr>
        <w:pStyle w:val="Bodytext30"/>
        <w:shd w:val="clear" w:color="auto" w:fill="auto"/>
        <w:spacing w:line="240" w:lineRule="auto"/>
        <w:ind w:left="20"/>
        <w:rPr>
          <w:rFonts w:ascii="Sylfaen" w:hAnsi="Sylfaen"/>
          <w:sz w:val="24"/>
          <w:szCs w:val="24"/>
        </w:rPr>
      </w:pPr>
      <w:r w:rsidRPr="00AD0310">
        <w:rPr>
          <w:rStyle w:val="Bodytext3Spacing2pt"/>
          <w:rFonts w:ascii="Sylfaen" w:hAnsi="Sylfaen"/>
          <w:b/>
          <w:bCs/>
          <w:spacing w:val="0"/>
          <w:sz w:val="24"/>
          <w:szCs w:val="24"/>
        </w:rPr>
        <w:t>МЕТОДОЛОГИЯ</w:t>
      </w:r>
    </w:p>
    <w:p w:rsidR="00A17F3E" w:rsidRPr="00AD0310" w:rsidRDefault="00DD4FDA" w:rsidP="00A64213">
      <w:pPr>
        <w:pStyle w:val="Bodytext30"/>
        <w:shd w:val="clear" w:color="auto" w:fill="auto"/>
        <w:spacing w:line="240" w:lineRule="auto"/>
        <w:ind w:left="20"/>
        <w:rPr>
          <w:rFonts w:ascii="Sylfaen" w:hAnsi="Sylfaen"/>
          <w:sz w:val="24"/>
          <w:szCs w:val="24"/>
        </w:rPr>
      </w:pPr>
      <w:r w:rsidRPr="00AD0310">
        <w:rPr>
          <w:rFonts w:ascii="Sylfaen" w:hAnsi="Sylfaen"/>
          <w:sz w:val="24"/>
          <w:szCs w:val="24"/>
        </w:rPr>
        <w:t>оценки эффективности мер государственного регулирования</w:t>
      </w:r>
      <w:r w:rsidR="00AD0310">
        <w:rPr>
          <w:rFonts w:ascii="Sylfaen" w:hAnsi="Sylfaen"/>
          <w:sz w:val="24"/>
          <w:szCs w:val="24"/>
        </w:rPr>
        <w:t xml:space="preserve"> </w:t>
      </w:r>
      <w:r w:rsidRPr="00AD0310">
        <w:rPr>
          <w:rFonts w:ascii="Sylfaen" w:hAnsi="Sylfaen"/>
          <w:sz w:val="24"/>
          <w:szCs w:val="24"/>
        </w:rPr>
        <w:t>агропродовольственного рынка и поддержки</w:t>
      </w:r>
      <w:r w:rsidR="00AD0310">
        <w:rPr>
          <w:rFonts w:ascii="Sylfaen" w:hAnsi="Sylfaen"/>
          <w:sz w:val="24"/>
          <w:szCs w:val="24"/>
        </w:rPr>
        <w:t xml:space="preserve"> </w:t>
      </w:r>
      <w:r w:rsidRPr="00AD0310">
        <w:rPr>
          <w:rFonts w:ascii="Sylfaen" w:hAnsi="Sylfaen"/>
          <w:sz w:val="24"/>
          <w:szCs w:val="24"/>
        </w:rPr>
        <w:t>агропромышленного комплекса</w:t>
      </w:r>
    </w:p>
    <w:p w:rsidR="00A64213" w:rsidRDefault="00A64213" w:rsidP="00A64213">
      <w:pPr>
        <w:pStyle w:val="Bodytext20"/>
        <w:shd w:val="clear" w:color="auto" w:fill="auto"/>
        <w:spacing w:before="0" w:after="120" w:line="240" w:lineRule="auto"/>
        <w:ind w:left="20" w:firstLine="0"/>
        <w:rPr>
          <w:rFonts w:ascii="Sylfaen" w:hAnsi="Sylfaen"/>
          <w:sz w:val="24"/>
          <w:szCs w:val="24"/>
          <w:lang w:val="en-US"/>
        </w:rPr>
      </w:pPr>
    </w:p>
    <w:p w:rsidR="00A17F3E" w:rsidRPr="00AD0310" w:rsidRDefault="00AD0310" w:rsidP="00A64213">
      <w:pPr>
        <w:pStyle w:val="Bodytext20"/>
        <w:shd w:val="clear" w:color="auto" w:fill="auto"/>
        <w:spacing w:before="0" w:after="120" w:line="240" w:lineRule="auto"/>
        <w:ind w:left="20" w:firstLine="0"/>
        <w:jc w:val="center"/>
        <w:rPr>
          <w:rFonts w:ascii="Sylfaen" w:hAnsi="Sylfaen"/>
          <w:sz w:val="24"/>
          <w:szCs w:val="24"/>
        </w:rPr>
      </w:pPr>
      <w:r w:rsidRPr="00AD0310">
        <w:rPr>
          <w:rFonts w:ascii="Sylfaen" w:hAnsi="Sylfaen"/>
          <w:sz w:val="24"/>
          <w:szCs w:val="24"/>
        </w:rPr>
        <w:t>I.</w:t>
      </w:r>
      <w:r>
        <w:rPr>
          <w:rFonts w:ascii="Sylfaen" w:hAnsi="Sylfaen"/>
          <w:sz w:val="24"/>
          <w:szCs w:val="24"/>
        </w:rPr>
        <w:t xml:space="preserve"> </w:t>
      </w:r>
      <w:r w:rsidR="00DD4FDA" w:rsidRPr="00AD0310">
        <w:rPr>
          <w:rFonts w:ascii="Sylfaen" w:hAnsi="Sylfaen"/>
          <w:sz w:val="24"/>
          <w:szCs w:val="24"/>
        </w:rPr>
        <w:t>Общие положения</w:t>
      </w:r>
    </w:p>
    <w:p w:rsidR="00A17F3E" w:rsidRPr="00AD0310" w:rsidRDefault="00AD0310" w:rsidP="00A64213">
      <w:pPr>
        <w:pStyle w:val="Bodytext20"/>
        <w:shd w:val="clear" w:color="auto" w:fill="auto"/>
        <w:spacing w:before="0" w:after="120" w:line="240" w:lineRule="auto"/>
        <w:ind w:left="20" w:firstLine="547"/>
        <w:rPr>
          <w:rFonts w:ascii="Sylfaen" w:hAnsi="Sylfaen"/>
          <w:sz w:val="24"/>
          <w:szCs w:val="24"/>
        </w:rPr>
      </w:pPr>
      <w:r w:rsidRPr="00AD0310">
        <w:rPr>
          <w:rFonts w:ascii="Sylfaen" w:hAnsi="Sylfaen"/>
          <w:sz w:val="24"/>
          <w:szCs w:val="24"/>
        </w:rPr>
        <w:t>1.</w:t>
      </w:r>
      <w:r>
        <w:rPr>
          <w:rFonts w:ascii="Sylfaen" w:hAnsi="Sylfaen"/>
          <w:sz w:val="24"/>
          <w:szCs w:val="24"/>
        </w:rPr>
        <w:t xml:space="preserve"> </w:t>
      </w:r>
      <w:r w:rsidR="00DD4FDA" w:rsidRPr="00AD0310">
        <w:rPr>
          <w:rFonts w:ascii="Sylfaen" w:hAnsi="Sylfaen"/>
          <w:sz w:val="24"/>
          <w:szCs w:val="24"/>
        </w:rPr>
        <w:t>Настоящая Методология разработана в целях повышения эффективности</w:t>
      </w:r>
      <w:r>
        <w:rPr>
          <w:rFonts w:ascii="Sylfaen" w:hAnsi="Sylfaen"/>
          <w:sz w:val="24"/>
          <w:szCs w:val="24"/>
        </w:rPr>
        <w:t xml:space="preserve"> </w:t>
      </w:r>
      <w:r w:rsidR="00DD4FDA" w:rsidRPr="00AD0310">
        <w:rPr>
          <w:rFonts w:ascii="Sylfaen" w:hAnsi="Sylfaen"/>
          <w:sz w:val="24"/>
          <w:szCs w:val="24"/>
        </w:rPr>
        <w:t>государственного</w:t>
      </w:r>
      <w:r>
        <w:rPr>
          <w:rFonts w:ascii="Sylfaen" w:hAnsi="Sylfaen"/>
          <w:sz w:val="24"/>
          <w:szCs w:val="24"/>
        </w:rPr>
        <w:t xml:space="preserve"> </w:t>
      </w:r>
      <w:r w:rsidR="00DD4FDA" w:rsidRPr="00AD0310">
        <w:rPr>
          <w:rFonts w:ascii="Sylfaen" w:hAnsi="Sylfaen"/>
          <w:sz w:val="24"/>
          <w:szCs w:val="24"/>
        </w:rPr>
        <w:t>регулирования агропродовольственного</w:t>
      </w:r>
      <w:r>
        <w:rPr>
          <w:rFonts w:ascii="Sylfaen" w:hAnsi="Sylfaen"/>
          <w:sz w:val="24"/>
          <w:szCs w:val="24"/>
        </w:rPr>
        <w:t xml:space="preserve"> </w:t>
      </w:r>
      <w:r w:rsidR="00DD4FDA" w:rsidRPr="00AD0310">
        <w:rPr>
          <w:rFonts w:ascii="Sylfaen" w:hAnsi="Sylfaen"/>
          <w:sz w:val="24"/>
          <w:szCs w:val="24"/>
        </w:rPr>
        <w:t>рынка</w:t>
      </w:r>
      <w:r>
        <w:rPr>
          <w:rFonts w:ascii="Sylfaen" w:hAnsi="Sylfaen"/>
          <w:sz w:val="24"/>
          <w:szCs w:val="24"/>
        </w:rPr>
        <w:t xml:space="preserve"> </w:t>
      </w:r>
      <w:r w:rsidR="00DD4FDA" w:rsidRPr="00AD0310">
        <w:rPr>
          <w:rFonts w:ascii="Sylfaen" w:hAnsi="Sylfaen"/>
          <w:sz w:val="24"/>
          <w:szCs w:val="24"/>
        </w:rPr>
        <w:t>и поддержки</w:t>
      </w:r>
      <w:r>
        <w:rPr>
          <w:rFonts w:ascii="Sylfaen" w:hAnsi="Sylfaen"/>
          <w:sz w:val="24"/>
          <w:szCs w:val="24"/>
        </w:rPr>
        <w:t xml:space="preserve"> </w:t>
      </w:r>
      <w:r w:rsidR="00DD4FDA" w:rsidRPr="00AD0310">
        <w:rPr>
          <w:rFonts w:ascii="Sylfaen" w:hAnsi="Sylfaen"/>
          <w:sz w:val="24"/>
          <w:szCs w:val="24"/>
        </w:rPr>
        <w:t>агропромышленного комплекса как системообразующего фактора устойчивого развития сельскохозяйственного</w:t>
      </w:r>
      <w:r>
        <w:rPr>
          <w:rFonts w:ascii="Sylfaen" w:hAnsi="Sylfaen"/>
          <w:sz w:val="24"/>
          <w:szCs w:val="24"/>
        </w:rPr>
        <w:t xml:space="preserve"> </w:t>
      </w:r>
      <w:r w:rsidR="00DD4FDA" w:rsidRPr="00AD0310">
        <w:rPr>
          <w:rFonts w:ascii="Sylfaen" w:hAnsi="Sylfaen"/>
          <w:sz w:val="24"/>
          <w:szCs w:val="24"/>
        </w:rPr>
        <w:t>производства</w:t>
      </w:r>
      <w:r>
        <w:rPr>
          <w:rFonts w:ascii="Sylfaen" w:hAnsi="Sylfaen"/>
          <w:sz w:val="24"/>
          <w:szCs w:val="24"/>
        </w:rPr>
        <w:t xml:space="preserve"> </w:t>
      </w:r>
      <w:r w:rsidR="00DD4FDA" w:rsidRPr="00AD0310">
        <w:rPr>
          <w:rFonts w:ascii="Sylfaen" w:hAnsi="Sylfaen"/>
          <w:sz w:val="24"/>
          <w:szCs w:val="24"/>
        </w:rPr>
        <w:t>и</w:t>
      </w:r>
      <w:r>
        <w:rPr>
          <w:rFonts w:ascii="Sylfaen" w:hAnsi="Sylfaen"/>
          <w:sz w:val="24"/>
          <w:szCs w:val="24"/>
        </w:rPr>
        <w:t xml:space="preserve"> </w:t>
      </w:r>
      <w:r w:rsidR="00DD4FDA" w:rsidRPr="00AD0310">
        <w:rPr>
          <w:rFonts w:ascii="Sylfaen" w:hAnsi="Sylfaen"/>
          <w:sz w:val="24"/>
          <w:szCs w:val="24"/>
        </w:rPr>
        <w:t>стабильности агропродовольственного рынка и применяется при проведении системного анализа и принятии решений, направленных на повышение эффективности</w:t>
      </w:r>
      <w:r>
        <w:rPr>
          <w:rFonts w:ascii="Sylfaen" w:hAnsi="Sylfaen"/>
          <w:sz w:val="24"/>
          <w:szCs w:val="24"/>
        </w:rPr>
        <w:t xml:space="preserve"> </w:t>
      </w:r>
      <w:r w:rsidR="00DD4FDA" w:rsidRPr="00AD0310">
        <w:rPr>
          <w:rFonts w:ascii="Sylfaen" w:hAnsi="Sylfaen"/>
          <w:sz w:val="24"/>
          <w:szCs w:val="24"/>
        </w:rPr>
        <w:t>мер</w:t>
      </w:r>
      <w:r>
        <w:rPr>
          <w:rFonts w:ascii="Sylfaen" w:hAnsi="Sylfaen"/>
          <w:sz w:val="24"/>
          <w:szCs w:val="24"/>
        </w:rPr>
        <w:t xml:space="preserve"> </w:t>
      </w:r>
      <w:r w:rsidR="00DD4FDA" w:rsidRPr="00AD0310">
        <w:rPr>
          <w:rFonts w:ascii="Sylfaen" w:hAnsi="Sylfaen"/>
          <w:sz w:val="24"/>
          <w:szCs w:val="24"/>
        </w:rPr>
        <w:t>государственного</w:t>
      </w:r>
      <w:r>
        <w:rPr>
          <w:rFonts w:ascii="Sylfaen" w:hAnsi="Sylfaen"/>
          <w:sz w:val="24"/>
          <w:szCs w:val="24"/>
        </w:rPr>
        <w:t xml:space="preserve"> </w:t>
      </w:r>
      <w:r w:rsidR="00DD4FDA" w:rsidRPr="00AD0310">
        <w:rPr>
          <w:rFonts w:ascii="Sylfaen" w:hAnsi="Sylfaen"/>
          <w:sz w:val="24"/>
          <w:szCs w:val="24"/>
        </w:rPr>
        <w:t>регулирования агропродовольственного</w:t>
      </w:r>
      <w:r>
        <w:rPr>
          <w:rFonts w:ascii="Sylfaen" w:hAnsi="Sylfaen"/>
          <w:sz w:val="24"/>
          <w:szCs w:val="24"/>
        </w:rPr>
        <w:t xml:space="preserve"> </w:t>
      </w:r>
      <w:r w:rsidR="00DD4FDA" w:rsidRPr="00AD0310">
        <w:rPr>
          <w:rFonts w:ascii="Sylfaen" w:hAnsi="Sylfaen"/>
          <w:sz w:val="24"/>
          <w:szCs w:val="24"/>
        </w:rPr>
        <w:t>рынка</w:t>
      </w:r>
      <w:r>
        <w:rPr>
          <w:rFonts w:ascii="Sylfaen" w:hAnsi="Sylfaen"/>
          <w:sz w:val="24"/>
          <w:szCs w:val="24"/>
        </w:rPr>
        <w:t xml:space="preserve"> </w:t>
      </w:r>
      <w:r w:rsidR="00DD4FDA" w:rsidRPr="00AD0310">
        <w:rPr>
          <w:rFonts w:ascii="Sylfaen" w:hAnsi="Sylfaen"/>
          <w:sz w:val="24"/>
          <w:szCs w:val="24"/>
        </w:rPr>
        <w:t>и</w:t>
      </w:r>
      <w:r>
        <w:rPr>
          <w:rFonts w:ascii="Sylfaen" w:hAnsi="Sylfaen"/>
          <w:sz w:val="24"/>
          <w:szCs w:val="24"/>
        </w:rPr>
        <w:t xml:space="preserve"> </w:t>
      </w:r>
      <w:r w:rsidR="00DD4FDA" w:rsidRPr="00AD0310">
        <w:rPr>
          <w:rFonts w:ascii="Sylfaen" w:hAnsi="Sylfaen"/>
          <w:sz w:val="24"/>
          <w:szCs w:val="24"/>
        </w:rPr>
        <w:t>поддержки</w:t>
      </w:r>
      <w:r>
        <w:rPr>
          <w:rFonts w:ascii="Sylfaen" w:hAnsi="Sylfaen"/>
          <w:sz w:val="24"/>
          <w:szCs w:val="24"/>
        </w:rPr>
        <w:t xml:space="preserve"> </w:t>
      </w:r>
      <w:r w:rsidR="00DD4FDA" w:rsidRPr="00AD0310">
        <w:rPr>
          <w:rFonts w:ascii="Sylfaen" w:hAnsi="Sylfaen"/>
          <w:sz w:val="24"/>
          <w:szCs w:val="24"/>
        </w:rPr>
        <w:t>агропромышленного комплекса.</w:t>
      </w:r>
    </w:p>
    <w:p w:rsidR="00A17F3E" w:rsidRPr="00AD0310" w:rsidRDefault="00AD0310" w:rsidP="00A64213">
      <w:pPr>
        <w:pStyle w:val="Bodytext20"/>
        <w:shd w:val="clear" w:color="auto" w:fill="auto"/>
        <w:spacing w:before="0" w:after="120" w:line="240" w:lineRule="auto"/>
        <w:ind w:left="20" w:firstLine="547"/>
        <w:rPr>
          <w:rFonts w:ascii="Sylfaen" w:hAnsi="Sylfaen"/>
          <w:sz w:val="24"/>
          <w:szCs w:val="24"/>
        </w:rPr>
      </w:pPr>
      <w:r w:rsidRPr="00AD0310">
        <w:rPr>
          <w:rFonts w:ascii="Sylfaen" w:hAnsi="Sylfaen"/>
          <w:sz w:val="24"/>
          <w:szCs w:val="24"/>
        </w:rPr>
        <w:t>2.</w:t>
      </w:r>
      <w:r>
        <w:rPr>
          <w:rFonts w:ascii="Sylfaen" w:hAnsi="Sylfaen"/>
          <w:sz w:val="24"/>
          <w:szCs w:val="24"/>
        </w:rPr>
        <w:t xml:space="preserve"> </w:t>
      </w:r>
      <w:r w:rsidR="00DD4FDA" w:rsidRPr="00AD0310">
        <w:rPr>
          <w:rFonts w:ascii="Sylfaen" w:hAnsi="Sylfaen"/>
          <w:sz w:val="24"/>
          <w:szCs w:val="24"/>
        </w:rPr>
        <w:t>Настоящая Методология основана на комплексном анализе системно-целевого механизма государственного регулирования агропродовольственного</w:t>
      </w:r>
      <w:r>
        <w:rPr>
          <w:rFonts w:ascii="Sylfaen" w:hAnsi="Sylfaen"/>
          <w:sz w:val="24"/>
          <w:szCs w:val="24"/>
        </w:rPr>
        <w:t xml:space="preserve"> </w:t>
      </w:r>
      <w:r w:rsidR="00DD4FDA" w:rsidRPr="00AD0310">
        <w:rPr>
          <w:rFonts w:ascii="Sylfaen" w:hAnsi="Sylfaen"/>
          <w:sz w:val="24"/>
          <w:szCs w:val="24"/>
        </w:rPr>
        <w:t>рынка</w:t>
      </w:r>
      <w:r>
        <w:rPr>
          <w:rFonts w:ascii="Sylfaen" w:hAnsi="Sylfaen"/>
          <w:sz w:val="24"/>
          <w:szCs w:val="24"/>
        </w:rPr>
        <w:t xml:space="preserve"> </w:t>
      </w:r>
      <w:r w:rsidR="00DD4FDA" w:rsidRPr="00AD0310">
        <w:rPr>
          <w:rFonts w:ascii="Sylfaen" w:hAnsi="Sylfaen"/>
          <w:sz w:val="24"/>
          <w:szCs w:val="24"/>
        </w:rPr>
        <w:t>и</w:t>
      </w:r>
      <w:r>
        <w:rPr>
          <w:rFonts w:ascii="Sylfaen" w:hAnsi="Sylfaen"/>
          <w:sz w:val="24"/>
          <w:szCs w:val="24"/>
        </w:rPr>
        <w:t xml:space="preserve"> </w:t>
      </w:r>
      <w:r w:rsidR="00DD4FDA" w:rsidRPr="00AD0310">
        <w:rPr>
          <w:rFonts w:ascii="Sylfaen" w:hAnsi="Sylfaen"/>
          <w:sz w:val="24"/>
          <w:szCs w:val="24"/>
        </w:rPr>
        <w:t>поддержки</w:t>
      </w:r>
      <w:r>
        <w:rPr>
          <w:rFonts w:ascii="Sylfaen" w:hAnsi="Sylfaen"/>
          <w:sz w:val="24"/>
          <w:szCs w:val="24"/>
        </w:rPr>
        <w:t xml:space="preserve"> </w:t>
      </w:r>
      <w:r w:rsidR="00DD4FDA" w:rsidRPr="00AD0310">
        <w:rPr>
          <w:rFonts w:ascii="Sylfaen" w:hAnsi="Sylfaen"/>
          <w:sz w:val="24"/>
          <w:szCs w:val="24"/>
        </w:rPr>
        <w:t>агропромышленного комплекса, выраженного в форме государственных программ, проектов и (или) совокупности принимаемых государственными органами государств - членов Евразийского экономического союза (далее соответственно - государства-члены, Союз) регулирующих решений, и позволяет рассмотреть эффекты регулирования как в отношении реализации целей поддержки агропромышленного комплекса по каждому государству-члену, Союзу в целом, так и в отношении отдельных групп продукции при любой степени детализации.</w:t>
      </w:r>
    </w:p>
    <w:p w:rsidR="00A17F3E" w:rsidRPr="00AD0310" w:rsidRDefault="00AD0310" w:rsidP="00A64213">
      <w:pPr>
        <w:pStyle w:val="Bodytext20"/>
        <w:shd w:val="clear" w:color="auto" w:fill="auto"/>
        <w:spacing w:before="0" w:after="120" w:line="240" w:lineRule="auto"/>
        <w:ind w:left="20" w:firstLine="547"/>
        <w:rPr>
          <w:rFonts w:ascii="Sylfaen" w:hAnsi="Sylfaen"/>
          <w:sz w:val="24"/>
          <w:szCs w:val="24"/>
        </w:rPr>
      </w:pPr>
      <w:r w:rsidRPr="00AD0310">
        <w:rPr>
          <w:rFonts w:ascii="Sylfaen" w:hAnsi="Sylfaen"/>
          <w:sz w:val="24"/>
          <w:szCs w:val="24"/>
        </w:rPr>
        <w:t>3.</w:t>
      </w:r>
      <w:r>
        <w:rPr>
          <w:rFonts w:ascii="Sylfaen" w:hAnsi="Sylfaen"/>
          <w:sz w:val="24"/>
          <w:szCs w:val="24"/>
        </w:rPr>
        <w:t xml:space="preserve"> </w:t>
      </w:r>
      <w:r w:rsidR="00DD4FDA" w:rsidRPr="00AD0310">
        <w:rPr>
          <w:rFonts w:ascii="Sylfaen" w:hAnsi="Sylfaen"/>
          <w:sz w:val="24"/>
          <w:szCs w:val="24"/>
        </w:rPr>
        <w:t>Настоящая Методология максимально формализована, основана на едином перечне статистических показателей, простом математическом аппарате и данных государственных ежегодных статистических программ государств-членов, а также унифицирована для многократного использования во всех государствах-членах.</w:t>
      </w:r>
    </w:p>
    <w:p w:rsidR="00A17F3E" w:rsidRPr="00AD0310" w:rsidRDefault="00AD0310" w:rsidP="00A64213">
      <w:pPr>
        <w:pStyle w:val="Bodytext20"/>
        <w:shd w:val="clear" w:color="auto" w:fill="auto"/>
        <w:spacing w:before="0" w:after="120" w:line="240" w:lineRule="auto"/>
        <w:ind w:left="20" w:firstLine="547"/>
        <w:rPr>
          <w:rFonts w:ascii="Sylfaen" w:hAnsi="Sylfaen"/>
          <w:sz w:val="24"/>
          <w:szCs w:val="24"/>
        </w:rPr>
      </w:pPr>
      <w:r w:rsidRPr="00AD0310">
        <w:rPr>
          <w:rFonts w:ascii="Sylfaen" w:hAnsi="Sylfaen"/>
          <w:sz w:val="24"/>
          <w:szCs w:val="24"/>
        </w:rPr>
        <w:t>4.</w:t>
      </w:r>
      <w:r>
        <w:rPr>
          <w:rFonts w:ascii="Sylfaen" w:hAnsi="Sylfaen"/>
          <w:sz w:val="24"/>
          <w:szCs w:val="24"/>
        </w:rPr>
        <w:t xml:space="preserve"> </w:t>
      </w:r>
      <w:r w:rsidR="00DD4FDA" w:rsidRPr="00AD0310">
        <w:rPr>
          <w:rFonts w:ascii="Sylfaen" w:hAnsi="Sylfaen"/>
          <w:sz w:val="24"/>
          <w:szCs w:val="24"/>
        </w:rPr>
        <w:t>Настоящая Методология опирается на общие для государств- членов подходы к системному анализу государственного регулирования агропродовольственного рынка и поддержки агропромышленного комплекса и учитывает критерии качественной и количественной оценки эффективности влияния такого регулирования на хозяйственную деятельность, в том числе:</w:t>
      </w:r>
    </w:p>
    <w:p w:rsidR="00A17F3E" w:rsidRPr="00AD0310" w:rsidRDefault="00AD0310" w:rsidP="00A64213">
      <w:pPr>
        <w:pStyle w:val="Bodytext20"/>
        <w:shd w:val="clear" w:color="auto" w:fill="auto"/>
        <w:spacing w:before="0" w:after="120" w:line="240" w:lineRule="auto"/>
        <w:ind w:left="20" w:firstLine="547"/>
        <w:rPr>
          <w:rFonts w:ascii="Sylfaen" w:hAnsi="Sylfaen"/>
          <w:sz w:val="24"/>
          <w:szCs w:val="24"/>
        </w:rPr>
      </w:pPr>
      <w:r w:rsidRPr="00AD0310">
        <w:rPr>
          <w:rFonts w:ascii="Sylfaen" w:hAnsi="Sylfaen"/>
          <w:sz w:val="24"/>
          <w:szCs w:val="24"/>
        </w:rPr>
        <w:t>1)</w:t>
      </w:r>
      <w:r>
        <w:rPr>
          <w:rFonts w:ascii="Sylfaen" w:hAnsi="Sylfaen"/>
          <w:sz w:val="24"/>
          <w:szCs w:val="24"/>
        </w:rPr>
        <w:t xml:space="preserve"> </w:t>
      </w:r>
      <w:r w:rsidR="00DD4FDA" w:rsidRPr="00AD0310">
        <w:rPr>
          <w:rFonts w:ascii="Sylfaen" w:hAnsi="Sylfaen"/>
          <w:sz w:val="24"/>
          <w:szCs w:val="24"/>
        </w:rPr>
        <w:t xml:space="preserve">определение уровня государственной поддержки по совокупности ассигнований, выделяемых в соответствии с государственными программами или </w:t>
      </w:r>
      <w:r w:rsidR="00DD4FDA" w:rsidRPr="00AD0310">
        <w:rPr>
          <w:rFonts w:ascii="Sylfaen" w:hAnsi="Sylfaen"/>
          <w:sz w:val="24"/>
          <w:szCs w:val="24"/>
        </w:rPr>
        <w:lastRenderedPageBreak/>
        <w:t>решениями государственных органов государств-членов, и использованию механизма поддержки рыночных цен;</w:t>
      </w:r>
    </w:p>
    <w:p w:rsidR="00A17F3E" w:rsidRPr="00AD0310" w:rsidRDefault="00AD0310" w:rsidP="00A64213">
      <w:pPr>
        <w:pStyle w:val="Bodytext20"/>
        <w:shd w:val="clear" w:color="auto" w:fill="auto"/>
        <w:spacing w:before="0" w:after="120" w:line="240" w:lineRule="auto"/>
        <w:ind w:left="20" w:firstLine="547"/>
        <w:rPr>
          <w:rFonts w:ascii="Sylfaen" w:hAnsi="Sylfaen"/>
          <w:sz w:val="24"/>
          <w:szCs w:val="24"/>
        </w:rPr>
      </w:pPr>
      <w:r w:rsidRPr="00AD0310">
        <w:rPr>
          <w:rFonts w:ascii="Sylfaen" w:hAnsi="Sylfaen"/>
          <w:sz w:val="24"/>
          <w:szCs w:val="24"/>
        </w:rPr>
        <w:t>2)</w:t>
      </w:r>
      <w:r>
        <w:rPr>
          <w:rFonts w:ascii="Sylfaen" w:hAnsi="Sylfaen"/>
          <w:sz w:val="24"/>
          <w:szCs w:val="24"/>
        </w:rPr>
        <w:t xml:space="preserve"> </w:t>
      </w:r>
      <w:r w:rsidR="00DD4FDA" w:rsidRPr="00AD0310">
        <w:rPr>
          <w:rFonts w:ascii="Sylfaen" w:hAnsi="Sylfaen"/>
          <w:sz w:val="24"/>
          <w:szCs w:val="24"/>
        </w:rPr>
        <w:t>эффективность мер по регулированию доступа на рынок сельскохозяйственной продукции третьих государств (учет эффективности мер поддержки в сочетании со сбалансированной системой регулирования импорта);</w:t>
      </w:r>
    </w:p>
    <w:p w:rsidR="00A17F3E" w:rsidRPr="00AD0310" w:rsidRDefault="00AD0310" w:rsidP="00A64213">
      <w:pPr>
        <w:pStyle w:val="Bodytext20"/>
        <w:shd w:val="clear" w:color="auto" w:fill="auto"/>
        <w:spacing w:before="0" w:after="120" w:line="240" w:lineRule="auto"/>
        <w:ind w:left="20" w:firstLine="547"/>
        <w:rPr>
          <w:rFonts w:ascii="Sylfaen" w:hAnsi="Sylfaen"/>
          <w:sz w:val="24"/>
          <w:szCs w:val="24"/>
        </w:rPr>
      </w:pPr>
      <w:r w:rsidRPr="00AD0310">
        <w:rPr>
          <w:rFonts w:ascii="Sylfaen" w:hAnsi="Sylfaen"/>
          <w:sz w:val="24"/>
          <w:szCs w:val="24"/>
        </w:rPr>
        <w:t>3)</w:t>
      </w:r>
      <w:r>
        <w:rPr>
          <w:rFonts w:ascii="Sylfaen" w:hAnsi="Sylfaen"/>
          <w:sz w:val="24"/>
          <w:szCs w:val="24"/>
        </w:rPr>
        <w:t xml:space="preserve"> </w:t>
      </w:r>
      <w:r w:rsidR="00DD4FDA" w:rsidRPr="00AD0310">
        <w:rPr>
          <w:rFonts w:ascii="Sylfaen" w:hAnsi="Sylfaen"/>
          <w:sz w:val="24"/>
          <w:szCs w:val="24"/>
        </w:rPr>
        <w:t>взаимосвязь эффективности механизмов поддержки агропромышленного комплекса с макроэкономической ситуацией, состоянием доходов населения, бюджетной и антиинфляционной политикой.</w:t>
      </w:r>
    </w:p>
    <w:p w:rsidR="00A17F3E" w:rsidRPr="00AD0310" w:rsidRDefault="00AD0310" w:rsidP="00A64213">
      <w:pPr>
        <w:pStyle w:val="Bodytext20"/>
        <w:shd w:val="clear" w:color="auto" w:fill="auto"/>
        <w:spacing w:before="0" w:after="120" w:line="240" w:lineRule="auto"/>
        <w:ind w:left="20" w:firstLine="547"/>
        <w:rPr>
          <w:rFonts w:ascii="Sylfaen" w:hAnsi="Sylfaen"/>
          <w:sz w:val="24"/>
          <w:szCs w:val="24"/>
        </w:rPr>
      </w:pPr>
      <w:r w:rsidRPr="00AD0310">
        <w:rPr>
          <w:rFonts w:ascii="Sylfaen" w:hAnsi="Sylfaen"/>
          <w:sz w:val="24"/>
          <w:szCs w:val="24"/>
        </w:rPr>
        <w:t>5.</w:t>
      </w:r>
      <w:r>
        <w:rPr>
          <w:rFonts w:ascii="Sylfaen" w:hAnsi="Sylfaen"/>
          <w:sz w:val="24"/>
          <w:szCs w:val="24"/>
        </w:rPr>
        <w:t xml:space="preserve"> </w:t>
      </w:r>
      <w:r w:rsidR="00DD4FDA" w:rsidRPr="00AD0310">
        <w:rPr>
          <w:rFonts w:ascii="Sylfaen" w:hAnsi="Sylfaen"/>
          <w:sz w:val="24"/>
          <w:szCs w:val="24"/>
        </w:rPr>
        <w:t>Эффективность</w:t>
      </w:r>
      <w:r>
        <w:rPr>
          <w:rFonts w:ascii="Sylfaen" w:hAnsi="Sylfaen"/>
          <w:sz w:val="24"/>
          <w:szCs w:val="24"/>
        </w:rPr>
        <w:t xml:space="preserve"> </w:t>
      </w:r>
      <w:r w:rsidR="00DD4FDA" w:rsidRPr="00AD0310">
        <w:rPr>
          <w:rFonts w:ascii="Sylfaen" w:hAnsi="Sylfaen"/>
          <w:sz w:val="24"/>
          <w:szCs w:val="24"/>
        </w:rPr>
        <w:t>государственного</w:t>
      </w:r>
      <w:r>
        <w:rPr>
          <w:rFonts w:ascii="Sylfaen" w:hAnsi="Sylfaen"/>
          <w:sz w:val="24"/>
          <w:szCs w:val="24"/>
        </w:rPr>
        <w:t xml:space="preserve"> </w:t>
      </w:r>
      <w:r w:rsidR="00DD4FDA" w:rsidRPr="00AD0310">
        <w:rPr>
          <w:rFonts w:ascii="Sylfaen" w:hAnsi="Sylfaen"/>
          <w:sz w:val="24"/>
          <w:szCs w:val="24"/>
        </w:rPr>
        <w:t>регулирования агропродовольственного рынка и поддержки агропромышленного комплекса определяется в зависимости от результативности воздействия финансовых и нефинансовых инструментов (механизмов) на хозяйственную деятельность, продукцию и услуги, потребителей, состояние рынка, а также на институциональную среду.</w:t>
      </w:r>
    </w:p>
    <w:p w:rsidR="00A17F3E" w:rsidRPr="00AD0310" w:rsidRDefault="00AD0310" w:rsidP="00A64213">
      <w:pPr>
        <w:pStyle w:val="Bodytext20"/>
        <w:shd w:val="clear" w:color="auto" w:fill="auto"/>
        <w:spacing w:before="0" w:after="120" w:line="240" w:lineRule="auto"/>
        <w:ind w:left="20" w:firstLine="547"/>
        <w:rPr>
          <w:rFonts w:ascii="Sylfaen" w:hAnsi="Sylfaen"/>
          <w:sz w:val="24"/>
          <w:szCs w:val="24"/>
        </w:rPr>
      </w:pPr>
      <w:r w:rsidRPr="00AD0310">
        <w:rPr>
          <w:rFonts w:ascii="Sylfaen" w:hAnsi="Sylfaen"/>
          <w:sz w:val="24"/>
          <w:szCs w:val="24"/>
        </w:rPr>
        <w:t>6.</w:t>
      </w:r>
      <w:r>
        <w:rPr>
          <w:rFonts w:ascii="Sylfaen" w:hAnsi="Sylfaen"/>
          <w:sz w:val="24"/>
          <w:szCs w:val="24"/>
        </w:rPr>
        <w:t xml:space="preserve"> </w:t>
      </w:r>
      <w:r w:rsidR="00DD4FDA" w:rsidRPr="00AD0310">
        <w:rPr>
          <w:rFonts w:ascii="Sylfaen" w:hAnsi="Sylfaen"/>
          <w:sz w:val="24"/>
          <w:szCs w:val="24"/>
        </w:rPr>
        <w:t>Выработка критериев эффективного государственного регулирования агропродовольственного рынка и поддержки агропромышленного комплекса осуществляется с учетом многофакторности агропромышленного комплекса и особенностей национальных систем государственного регулирования, соответствующих принятым международным обязательствам в сфере сельского хозяйства и принципам функционирования рыночных механизмов взаимной торговли государств-членов.</w:t>
      </w:r>
    </w:p>
    <w:p w:rsidR="00A64213" w:rsidRDefault="00A64213" w:rsidP="00A64213">
      <w:pPr>
        <w:pStyle w:val="Bodytext20"/>
        <w:shd w:val="clear" w:color="auto" w:fill="auto"/>
        <w:spacing w:before="0" w:after="120" w:line="240" w:lineRule="auto"/>
        <w:ind w:left="20" w:firstLine="0"/>
        <w:jc w:val="center"/>
        <w:rPr>
          <w:rFonts w:ascii="Sylfaen" w:hAnsi="Sylfaen"/>
          <w:sz w:val="24"/>
          <w:szCs w:val="24"/>
          <w:lang w:val="en-US" w:eastAsia="en-US" w:bidi="en-US"/>
        </w:rPr>
      </w:pPr>
    </w:p>
    <w:p w:rsidR="00A17F3E" w:rsidRPr="00AD0310" w:rsidRDefault="00DD4FDA" w:rsidP="00A64213">
      <w:pPr>
        <w:pStyle w:val="Bodytext20"/>
        <w:shd w:val="clear" w:color="auto" w:fill="auto"/>
        <w:spacing w:before="0" w:after="120" w:line="240" w:lineRule="auto"/>
        <w:ind w:left="20" w:firstLine="0"/>
        <w:jc w:val="center"/>
        <w:rPr>
          <w:rFonts w:ascii="Sylfaen" w:hAnsi="Sylfaen"/>
          <w:sz w:val="24"/>
          <w:szCs w:val="24"/>
        </w:rPr>
      </w:pPr>
      <w:r w:rsidRPr="00AD0310">
        <w:rPr>
          <w:rFonts w:ascii="Sylfaen" w:hAnsi="Sylfaen"/>
          <w:sz w:val="24"/>
          <w:szCs w:val="24"/>
          <w:lang w:val="en-US" w:eastAsia="en-US" w:bidi="en-US"/>
        </w:rPr>
        <w:t>II</w:t>
      </w:r>
      <w:r w:rsidRPr="00AD0310">
        <w:rPr>
          <w:rFonts w:ascii="Sylfaen" w:hAnsi="Sylfaen"/>
          <w:sz w:val="24"/>
          <w:szCs w:val="24"/>
        </w:rPr>
        <w:t>. Область применения</w:t>
      </w:r>
    </w:p>
    <w:p w:rsidR="00A17F3E" w:rsidRPr="00AD0310" w:rsidRDefault="00AD0310" w:rsidP="00804432">
      <w:pPr>
        <w:pStyle w:val="Bodytext20"/>
        <w:shd w:val="clear" w:color="auto" w:fill="auto"/>
        <w:spacing w:before="0" w:after="120" w:line="240" w:lineRule="auto"/>
        <w:ind w:left="20" w:firstLine="547"/>
        <w:rPr>
          <w:rFonts w:ascii="Sylfaen" w:hAnsi="Sylfaen"/>
          <w:sz w:val="24"/>
          <w:szCs w:val="24"/>
        </w:rPr>
      </w:pPr>
      <w:r w:rsidRPr="00AD0310">
        <w:rPr>
          <w:rFonts w:ascii="Sylfaen" w:hAnsi="Sylfaen"/>
          <w:sz w:val="24"/>
          <w:szCs w:val="24"/>
        </w:rPr>
        <w:t>7.</w:t>
      </w:r>
      <w:r>
        <w:rPr>
          <w:rFonts w:ascii="Sylfaen" w:hAnsi="Sylfaen"/>
          <w:sz w:val="24"/>
          <w:szCs w:val="24"/>
        </w:rPr>
        <w:t xml:space="preserve"> </w:t>
      </w:r>
      <w:r w:rsidR="00DD4FDA" w:rsidRPr="00AD0310">
        <w:rPr>
          <w:rFonts w:ascii="Sylfaen" w:hAnsi="Sylfaen"/>
          <w:sz w:val="24"/>
          <w:szCs w:val="24"/>
        </w:rPr>
        <w:t>Настоящая Методология применяется в области государственного регулирования агропродовольственного рынка и поддержки агропромышленного комплекса и учитывает особенности развития данного сектора экономики, в том числе сезонный характер сельского хозяйства, географические и климатические условия на территориях государств-членов, влияющие на эффективность производства сельскохозяйственной продукции, и его способность адаптироваться к конкурентной среде на внутреннем и внешнем рынках в условиях динамично развивающихся интеграционных процессов.</w:t>
      </w:r>
    </w:p>
    <w:p w:rsidR="00A17F3E" w:rsidRPr="00AD0310" w:rsidRDefault="00AD0310" w:rsidP="00804432">
      <w:pPr>
        <w:pStyle w:val="Bodytext20"/>
        <w:shd w:val="clear" w:color="auto" w:fill="auto"/>
        <w:spacing w:before="0" w:after="120" w:line="240" w:lineRule="auto"/>
        <w:ind w:left="20" w:firstLine="547"/>
        <w:rPr>
          <w:rFonts w:ascii="Sylfaen" w:hAnsi="Sylfaen"/>
          <w:sz w:val="24"/>
          <w:szCs w:val="24"/>
        </w:rPr>
      </w:pPr>
      <w:r w:rsidRPr="00AD0310">
        <w:rPr>
          <w:rFonts w:ascii="Sylfaen" w:hAnsi="Sylfaen"/>
          <w:sz w:val="24"/>
          <w:szCs w:val="24"/>
        </w:rPr>
        <w:t>8.</w:t>
      </w:r>
      <w:r>
        <w:rPr>
          <w:rFonts w:ascii="Sylfaen" w:hAnsi="Sylfaen"/>
          <w:sz w:val="24"/>
          <w:szCs w:val="24"/>
        </w:rPr>
        <w:t xml:space="preserve"> </w:t>
      </w:r>
      <w:r w:rsidR="00DD4FDA" w:rsidRPr="00AD0310">
        <w:rPr>
          <w:rFonts w:ascii="Sylfaen" w:hAnsi="Sylfaen"/>
          <w:sz w:val="24"/>
          <w:szCs w:val="24"/>
        </w:rPr>
        <w:t>Область</w:t>
      </w:r>
      <w:r>
        <w:rPr>
          <w:rFonts w:ascii="Sylfaen" w:hAnsi="Sylfaen"/>
          <w:sz w:val="24"/>
          <w:szCs w:val="24"/>
        </w:rPr>
        <w:t xml:space="preserve"> </w:t>
      </w:r>
      <w:r w:rsidR="00DD4FDA" w:rsidRPr="00AD0310">
        <w:rPr>
          <w:rFonts w:ascii="Sylfaen" w:hAnsi="Sylfaen"/>
          <w:sz w:val="24"/>
          <w:szCs w:val="24"/>
        </w:rPr>
        <w:t>государственного</w:t>
      </w:r>
      <w:r>
        <w:rPr>
          <w:rFonts w:ascii="Sylfaen" w:hAnsi="Sylfaen"/>
          <w:sz w:val="24"/>
          <w:szCs w:val="24"/>
        </w:rPr>
        <w:t xml:space="preserve"> </w:t>
      </w:r>
      <w:r w:rsidR="00DD4FDA" w:rsidRPr="00AD0310">
        <w:rPr>
          <w:rFonts w:ascii="Sylfaen" w:hAnsi="Sylfaen"/>
          <w:sz w:val="24"/>
          <w:szCs w:val="24"/>
        </w:rPr>
        <w:t>регулирования</w:t>
      </w:r>
      <w:r w:rsidR="00DD4FDA" w:rsidRPr="00AD0310">
        <w:rPr>
          <w:rFonts w:ascii="Sylfaen" w:hAnsi="Sylfaen"/>
          <w:sz w:val="24"/>
          <w:szCs w:val="24"/>
          <w:lang w:eastAsia="en-US" w:bidi="en-US"/>
        </w:rPr>
        <w:t xml:space="preserve"> </w:t>
      </w:r>
      <w:r w:rsidR="00DD4FDA" w:rsidRPr="00AD0310">
        <w:rPr>
          <w:rFonts w:ascii="Sylfaen" w:hAnsi="Sylfaen"/>
          <w:sz w:val="24"/>
          <w:szCs w:val="24"/>
        </w:rPr>
        <w:t>агропродовольственного рынка и поддержки агропромышленного комплекса включает в себя как инструменты (механизмы), опирающиеся на финансовые методы поддержки агропромышленного комплекса (ресурсное обеспечение), так и инструменты (механизмы), опирающиеся на административные методы поддержки агропромышленного комплекса, которые действуют не менее эффективно, особенно в ситуации, когда невозможно оказать прямую финансовую поддержку.</w:t>
      </w:r>
    </w:p>
    <w:p w:rsidR="00A17F3E" w:rsidRDefault="00AD0310" w:rsidP="00804432">
      <w:pPr>
        <w:pStyle w:val="Bodytext20"/>
        <w:shd w:val="clear" w:color="auto" w:fill="auto"/>
        <w:spacing w:before="0" w:after="120" w:line="240" w:lineRule="auto"/>
        <w:ind w:left="20" w:firstLine="547"/>
        <w:rPr>
          <w:rFonts w:ascii="Sylfaen" w:hAnsi="Sylfaen"/>
          <w:sz w:val="24"/>
          <w:szCs w:val="24"/>
          <w:lang w:val="en-US"/>
        </w:rPr>
      </w:pPr>
      <w:r w:rsidRPr="00AD0310">
        <w:rPr>
          <w:rFonts w:ascii="Sylfaen" w:hAnsi="Sylfaen"/>
          <w:sz w:val="24"/>
          <w:szCs w:val="24"/>
        </w:rPr>
        <w:t>9.</w:t>
      </w:r>
      <w:r>
        <w:rPr>
          <w:rFonts w:ascii="Sylfaen" w:hAnsi="Sylfaen"/>
          <w:sz w:val="24"/>
          <w:szCs w:val="24"/>
        </w:rPr>
        <w:t xml:space="preserve"> </w:t>
      </w:r>
      <w:r w:rsidR="00DD4FDA" w:rsidRPr="00AD0310">
        <w:rPr>
          <w:rFonts w:ascii="Sylfaen" w:hAnsi="Sylfaen"/>
          <w:sz w:val="24"/>
          <w:szCs w:val="24"/>
        </w:rPr>
        <w:t xml:space="preserve">Инструменты (механизмы) государственного регулирования агропродовольственного рынка и поддержки агропромышленного комплекса используются на общегосударственном уровне и (или) на уровне отдельных </w:t>
      </w:r>
      <w:r w:rsidR="00DD4FDA" w:rsidRPr="00AD0310">
        <w:rPr>
          <w:rFonts w:ascii="Sylfaen" w:hAnsi="Sylfaen"/>
          <w:sz w:val="24"/>
          <w:szCs w:val="24"/>
        </w:rPr>
        <w:lastRenderedPageBreak/>
        <w:t>регионов (местностей) с учетом территориальной специфики осуществления деятельности в сфере сельского хозяйства, что в целом обусловливает постановку целей и задач государственного регулирования и конфигурацию (сочетание) инструментов (механизмов) для их осуществления. Инструменты (механизмы) государственного регулирования агропродовольственного рынка и поддержки агропромышленного комплекса представлены на рисунке.</w:t>
      </w:r>
    </w:p>
    <w:p w:rsidR="00804432" w:rsidRDefault="00804432">
      <w:r>
        <w:br w:type="page"/>
      </w:r>
    </w:p>
    <w:p w:rsidR="00A17F3E" w:rsidRPr="00AD0310" w:rsidRDefault="006D18AE" w:rsidP="00AD0310">
      <w:pPr>
        <w:spacing w:after="120"/>
        <w:jc w:val="center"/>
      </w:pPr>
      <w:r>
        <w:rPr>
          <w:noProof/>
          <w:lang w:val="en-US" w:eastAsia="en-US" w:bidi="ar-SA"/>
        </w:rPr>
        <w:lastRenderedPageBreak/>
        <w:pict>
          <v:shapetype id="_x0000_t202" coordsize="21600,21600" o:spt="202" path="m,l,21600r21600,l21600,xe">
            <v:stroke joinstyle="miter"/>
            <v:path gradientshapeok="t" o:connecttype="rect"/>
          </v:shapetype>
          <v:shape id="_x0000_s1048" type="#_x0000_t202" style="position:absolute;left:0;text-align:left;margin-left:331.25pt;margin-top:174.1pt;width:110.85pt;height:46.75pt;z-index:251678720;mso-width-relative:margin;mso-height-relative:margin" strokecolor="white [3212]" strokeweight="0">
            <v:textbox style="mso-next-textbox:#_x0000_s1048">
              <w:txbxContent>
                <w:p w:rsidR="00F0569F" w:rsidRPr="00210C55" w:rsidRDefault="00F0569F" w:rsidP="00F0569F">
                  <w:pPr>
                    <w:jc w:val="center"/>
                    <w:rPr>
                      <w:sz w:val="20"/>
                      <w:szCs w:val="20"/>
                    </w:rPr>
                  </w:pPr>
                  <w:r w:rsidRPr="00210C55">
                    <w:rPr>
                      <w:sz w:val="20"/>
                      <w:szCs w:val="20"/>
                    </w:rPr>
                    <w:t>Требования безопасности продукции</w:t>
                  </w:r>
                </w:p>
              </w:txbxContent>
            </v:textbox>
          </v:shape>
        </w:pict>
      </w:r>
      <w:r>
        <w:rPr>
          <w:noProof/>
          <w:lang w:val="en-US" w:eastAsia="en-US" w:bidi="ar-SA"/>
        </w:rPr>
        <w:pict>
          <v:shape id="_x0000_s1049" type="#_x0000_t202" style="position:absolute;left:0;text-align:left;margin-left:331.25pt;margin-top:144.1pt;width:110.85pt;height:21pt;z-index:251679744;mso-width-relative:margin;mso-height-relative:margin" strokecolor="white [3212]" strokeweight="0">
            <v:textbox style="mso-next-textbox:#_x0000_s1049">
              <w:txbxContent>
                <w:p w:rsidR="00F0569F" w:rsidRPr="00236F29" w:rsidRDefault="00F0569F" w:rsidP="00D539FA">
                  <w:pPr>
                    <w:jc w:val="center"/>
                    <w:rPr>
                      <w:sz w:val="18"/>
                      <w:szCs w:val="18"/>
                      <w:lang w:val="en-US"/>
                    </w:rPr>
                  </w:pPr>
                  <w:r>
                    <w:rPr>
                      <w:sz w:val="18"/>
                      <w:szCs w:val="18"/>
                    </w:rPr>
                    <w:t>Тарифы</w:t>
                  </w:r>
                </w:p>
              </w:txbxContent>
            </v:textbox>
          </v:shape>
        </w:pict>
      </w:r>
      <w:r>
        <w:rPr>
          <w:noProof/>
          <w:lang w:val="en-US" w:eastAsia="en-US" w:bidi="ar-SA"/>
        </w:rPr>
        <w:pict>
          <v:shape id="_x0000_s1047" type="#_x0000_t202" style="position:absolute;left:0;text-align:left;margin-left:335pt;margin-top:112.85pt;width:110.85pt;height:21pt;z-index:251677696;mso-width-relative:margin;mso-height-relative:margin" strokecolor="white [3212]" strokeweight="0">
            <v:textbox style="mso-next-textbox:#_x0000_s1047">
              <w:txbxContent>
                <w:p w:rsidR="00F0569F" w:rsidRPr="00236F29" w:rsidRDefault="00F0569F" w:rsidP="00D539FA">
                  <w:pPr>
                    <w:jc w:val="center"/>
                    <w:rPr>
                      <w:sz w:val="18"/>
                      <w:szCs w:val="18"/>
                      <w:lang w:val="en-US"/>
                    </w:rPr>
                  </w:pPr>
                  <w:r>
                    <w:rPr>
                      <w:sz w:val="18"/>
                      <w:szCs w:val="18"/>
                    </w:rPr>
                    <w:t>Налоги</w:t>
                  </w:r>
                </w:p>
              </w:txbxContent>
            </v:textbox>
          </v:shape>
        </w:pict>
      </w:r>
      <w:r>
        <w:rPr>
          <w:noProof/>
          <w:lang w:val="en-US" w:eastAsia="en-US" w:bidi="ar-SA"/>
        </w:rPr>
        <w:pict>
          <v:shape id="_x0000_s1046" type="#_x0000_t202" style="position:absolute;left:0;text-align:left;margin-left:335pt;margin-top:85.85pt;width:110.85pt;height:21pt;z-index:251676672;mso-width-relative:margin;mso-height-relative:margin" strokecolor="white [3212]" strokeweight="0">
            <v:textbox style="mso-next-textbox:#_x0000_s1046">
              <w:txbxContent>
                <w:p w:rsidR="00236F29" w:rsidRPr="00236F29" w:rsidRDefault="00236F29" w:rsidP="00D539FA">
                  <w:pPr>
                    <w:jc w:val="center"/>
                    <w:rPr>
                      <w:sz w:val="18"/>
                      <w:szCs w:val="18"/>
                      <w:lang w:val="en-US"/>
                    </w:rPr>
                  </w:pPr>
                  <w:r>
                    <w:rPr>
                      <w:sz w:val="18"/>
                      <w:szCs w:val="18"/>
                    </w:rPr>
                    <w:t>Субсидии</w:t>
                  </w:r>
                </w:p>
              </w:txbxContent>
            </v:textbox>
          </v:shape>
        </w:pict>
      </w:r>
      <w:r>
        <w:rPr>
          <w:noProof/>
          <w:lang w:val="en-US" w:eastAsia="en-US" w:bidi="ar-SA"/>
        </w:rPr>
        <w:pict>
          <v:shape id="_x0000_s1045" type="#_x0000_t202" style="position:absolute;left:0;text-align:left;margin-left:335.75pt;margin-top:47.35pt;width:110.85pt;height:30.3pt;z-index:251675648;mso-width-relative:margin;mso-height-relative:margin" strokecolor="white [3212]" strokeweight="0">
            <v:textbox style="mso-next-textbox:#_x0000_s1045">
              <w:txbxContent>
                <w:p w:rsidR="00936F4D" w:rsidRPr="00236F29" w:rsidRDefault="00936F4D" w:rsidP="00D539FA">
                  <w:pPr>
                    <w:jc w:val="center"/>
                    <w:rPr>
                      <w:sz w:val="18"/>
                      <w:szCs w:val="18"/>
                      <w:lang w:val="en-US"/>
                    </w:rPr>
                  </w:pPr>
                  <w:r w:rsidRPr="00236F29">
                    <w:rPr>
                      <w:sz w:val="18"/>
                      <w:szCs w:val="18"/>
                    </w:rPr>
                    <w:t>Государственные заказы</w:t>
                  </w:r>
                </w:p>
              </w:txbxContent>
            </v:textbox>
          </v:shape>
        </w:pict>
      </w:r>
      <w:r>
        <w:rPr>
          <w:noProof/>
          <w:lang w:val="en-US" w:eastAsia="en-US" w:bidi="ar-SA"/>
        </w:rPr>
        <w:pict>
          <v:shape id="_x0000_s1043" type="#_x0000_t202" style="position:absolute;left:0;text-align:left;margin-left:331.25pt;margin-top:2.3pt;width:110.85pt;height:34.8pt;z-index:251673600;mso-width-relative:margin;mso-height-relative:margin" strokecolor="white [3212]" strokeweight="0">
            <v:textbox style="mso-next-textbox:#_x0000_s1043">
              <w:txbxContent>
                <w:p w:rsidR="00936F4D" w:rsidRPr="00350CE9" w:rsidRDefault="00936F4D" w:rsidP="00D539FA">
                  <w:pPr>
                    <w:jc w:val="center"/>
                    <w:rPr>
                      <w:sz w:val="21"/>
                      <w:szCs w:val="21"/>
                      <w:lang w:val="en-US"/>
                    </w:rPr>
                  </w:pPr>
                  <w:r>
                    <w:rPr>
                      <w:sz w:val="21"/>
                      <w:szCs w:val="21"/>
                    </w:rPr>
                    <w:t>Государственные программы</w:t>
                  </w:r>
                </w:p>
              </w:txbxContent>
            </v:textbox>
          </v:shape>
        </w:pict>
      </w:r>
      <w:r>
        <w:rPr>
          <w:noProof/>
          <w:lang w:val="en-US" w:eastAsia="en-US" w:bidi="ar-SA"/>
        </w:rPr>
        <w:pict>
          <v:shape id="_x0000_s1042" type="#_x0000_t202" style="position:absolute;left:0;text-align:left;margin-left:170.75pt;margin-top:331.55pt;width:87.6pt;height:18.3pt;z-index:251672576;mso-width-relative:margin;mso-height-relative:margin" strokecolor="white [3212]" strokeweight="0">
            <v:textbox style="mso-next-textbox:#_x0000_s1042">
              <w:txbxContent>
                <w:p w:rsidR="00E06380" w:rsidRPr="00350CE9" w:rsidRDefault="00E06380" w:rsidP="00D539FA">
                  <w:pPr>
                    <w:jc w:val="center"/>
                    <w:rPr>
                      <w:sz w:val="21"/>
                      <w:szCs w:val="21"/>
                      <w:lang w:val="en-US"/>
                    </w:rPr>
                  </w:pPr>
                  <w:r>
                    <w:rPr>
                      <w:sz w:val="21"/>
                      <w:szCs w:val="21"/>
                    </w:rPr>
                    <w:t xml:space="preserve">Условия Труда </w:t>
                  </w:r>
                </w:p>
              </w:txbxContent>
            </v:textbox>
          </v:shape>
        </w:pict>
      </w:r>
      <w:r>
        <w:rPr>
          <w:noProof/>
          <w:lang w:val="en-US" w:eastAsia="en-US" w:bidi="ar-SA"/>
        </w:rPr>
        <w:pict>
          <v:shape id="_x0000_s1041" type="#_x0000_t202" style="position:absolute;left:0;text-align:left;margin-left:175.3pt;margin-top:306.05pt;width:78.55pt;height:18.3pt;z-index:251671552;mso-width-relative:margin;mso-height-relative:margin" strokecolor="white [3212]" strokeweight="0">
            <v:textbox style="mso-next-textbox:#_x0000_s1041">
              <w:txbxContent>
                <w:p w:rsidR="00301251" w:rsidRPr="00350CE9" w:rsidRDefault="00301251" w:rsidP="00D539FA">
                  <w:pPr>
                    <w:jc w:val="center"/>
                    <w:rPr>
                      <w:sz w:val="21"/>
                      <w:szCs w:val="21"/>
                      <w:lang w:val="en-US"/>
                    </w:rPr>
                  </w:pPr>
                  <w:r>
                    <w:rPr>
                      <w:sz w:val="21"/>
                      <w:szCs w:val="21"/>
                    </w:rPr>
                    <w:t>Занятость</w:t>
                  </w:r>
                </w:p>
              </w:txbxContent>
            </v:textbox>
          </v:shape>
        </w:pict>
      </w:r>
      <w:r>
        <w:rPr>
          <w:noProof/>
          <w:lang w:val="en-US" w:eastAsia="en-US" w:bidi="ar-SA"/>
        </w:rPr>
        <w:pict>
          <v:shape id="_x0000_s1040" type="#_x0000_t202" style="position:absolute;left:0;text-align:left;margin-left:172.3pt;margin-top:269.75pt;width:82.3pt;height:33.3pt;z-index:251670528;mso-width-relative:margin;mso-height-relative:margin" strokecolor="white [3212]" strokeweight="0">
            <v:textbox style="mso-next-textbox:#_x0000_s1040">
              <w:txbxContent>
                <w:p w:rsidR="00016CA0" w:rsidRPr="00350CE9" w:rsidRDefault="00016CA0" w:rsidP="00D539FA">
                  <w:pPr>
                    <w:jc w:val="center"/>
                    <w:rPr>
                      <w:sz w:val="21"/>
                      <w:szCs w:val="21"/>
                      <w:lang w:val="en-US"/>
                    </w:rPr>
                  </w:pPr>
                  <w:r>
                    <w:rPr>
                      <w:sz w:val="21"/>
                      <w:szCs w:val="21"/>
                    </w:rPr>
                    <w:t>Трудовые отношения</w:t>
                  </w:r>
                </w:p>
              </w:txbxContent>
            </v:textbox>
          </v:shape>
        </w:pict>
      </w:r>
      <w:r>
        <w:rPr>
          <w:noProof/>
          <w:lang w:val="en-US" w:eastAsia="en-US" w:bidi="ar-SA"/>
        </w:rPr>
        <w:pict>
          <v:shape id="_x0000_s1038" type="#_x0000_t202" style="position:absolute;left:0;text-align:left;margin-left:165.55pt;margin-top:207.1pt;width:101.05pt;height:53.5pt;z-index:251669504;mso-width-relative:margin;mso-height-relative:margin" strokecolor="white [3212]" strokeweight="0">
            <v:textbox style="mso-next-textbox:#_x0000_s1038">
              <w:txbxContent>
                <w:p w:rsidR="006C0A79" w:rsidRPr="006C0A79" w:rsidRDefault="006C0A79" w:rsidP="00D539FA">
                  <w:pPr>
                    <w:jc w:val="center"/>
                    <w:rPr>
                      <w:sz w:val="21"/>
                      <w:szCs w:val="21"/>
                    </w:rPr>
                  </w:pPr>
                  <w:r>
                    <w:rPr>
                      <w:sz w:val="18"/>
                      <w:szCs w:val="18"/>
                    </w:rPr>
                    <w:t>Санитарные, ветеринарные и фитосанитарные меры</w:t>
                  </w:r>
                </w:p>
              </w:txbxContent>
            </v:textbox>
          </v:shape>
        </w:pict>
      </w:r>
      <w:r>
        <w:rPr>
          <w:noProof/>
          <w:lang w:val="en-US" w:eastAsia="en-US" w:bidi="ar-SA"/>
        </w:rPr>
        <w:pict>
          <v:shape id="_x0000_s1037" type="#_x0000_t202" style="position:absolute;left:0;text-align:left;margin-left:156.55pt;margin-top:165.85pt;width:113.95pt;height:33.3pt;z-index:251668480;mso-width-relative:margin;mso-height-relative:margin" strokecolor="white [3212]" strokeweight="0">
            <v:textbox style="mso-next-textbox:#_x0000_s1037">
              <w:txbxContent>
                <w:p w:rsidR="00D3741F" w:rsidRPr="00350CE9" w:rsidRDefault="006C0A79" w:rsidP="00D539FA">
                  <w:pPr>
                    <w:jc w:val="center"/>
                    <w:rPr>
                      <w:sz w:val="21"/>
                      <w:szCs w:val="21"/>
                      <w:lang w:val="en-US"/>
                    </w:rPr>
                  </w:pPr>
                  <w:r>
                    <w:rPr>
                      <w:sz w:val="21"/>
                      <w:szCs w:val="21"/>
                    </w:rPr>
                    <w:t xml:space="preserve">Техническое </w:t>
                  </w:r>
                  <w:r w:rsidR="00D3741F">
                    <w:rPr>
                      <w:sz w:val="21"/>
                      <w:szCs w:val="21"/>
                    </w:rPr>
                    <w:t>регулирование</w:t>
                  </w:r>
                </w:p>
              </w:txbxContent>
            </v:textbox>
          </v:shape>
        </w:pict>
      </w:r>
      <w:r>
        <w:rPr>
          <w:noProof/>
          <w:lang w:val="en-US" w:eastAsia="en-US" w:bidi="ar-SA"/>
        </w:rPr>
        <w:pict>
          <v:shape id="_x0000_s1036" type="#_x0000_t202" style="position:absolute;left:0;text-align:left;margin-left:156.55pt;margin-top:128.55pt;width:113.95pt;height:26.3pt;z-index:251667456;mso-width-relative:margin;mso-height-relative:margin" strokecolor="white [3212]" strokeweight="0">
            <v:textbox style="mso-next-textbox:#_x0000_s1036">
              <w:txbxContent>
                <w:p w:rsidR="00241EC4" w:rsidRPr="00D3741F" w:rsidRDefault="00241EC4" w:rsidP="00D539FA">
                  <w:pPr>
                    <w:jc w:val="center"/>
                    <w:rPr>
                      <w:sz w:val="18"/>
                      <w:szCs w:val="18"/>
                      <w:lang w:val="en-US"/>
                    </w:rPr>
                  </w:pPr>
                  <w:r w:rsidRPr="00D3741F">
                    <w:rPr>
                      <w:sz w:val="18"/>
                      <w:szCs w:val="18"/>
                    </w:rPr>
                    <w:t>Обязательные платежи</w:t>
                  </w:r>
                </w:p>
              </w:txbxContent>
            </v:textbox>
          </v:shape>
        </w:pict>
      </w:r>
      <w:r>
        <w:rPr>
          <w:noProof/>
          <w:lang w:val="en-US" w:eastAsia="en-US" w:bidi="ar-SA"/>
        </w:rPr>
        <w:pict>
          <v:shape id="_x0000_s1035" type="#_x0000_t202" style="position:absolute;left:0;text-align:left;margin-left:156.55pt;margin-top:83.6pt;width:113.95pt;height:36.25pt;z-index:251666432;mso-width-relative:margin;mso-height-relative:margin" strokecolor="white [3212]" strokeweight="0">
            <v:textbox style="mso-next-textbox:#_x0000_s1035">
              <w:txbxContent>
                <w:p w:rsidR="00241EC4" w:rsidRPr="00350CE9" w:rsidRDefault="00241EC4" w:rsidP="00D539FA">
                  <w:pPr>
                    <w:jc w:val="center"/>
                    <w:rPr>
                      <w:sz w:val="21"/>
                      <w:szCs w:val="21"/>
                      <w:lang w:val="en-US"/>
                    </w:rPr>
                  </w:pPr>
                  <w:r>
                    <w:rPr>
                      <w:sz w:val="21"/>
                      <w:szCs w:val="21"/>
                    </w:rPr>
                    <w:t>Ценовое регулирование</w:t>
                  </w:r>
                </w:p>
              </w:txbxContent>
            </v:textbox>
          </v:shape>
        </w:pict>
      </w:r>
      <w:r>
        <w:rPr>
          <w:noProof/>
          <w:lang w:val="en-US" w:eastAsia="en-US" w:bidi="ar-SA"/>
        </w:rPr>
        <w:pict>
          <v:shape id="_x0000_s1034" type="#_x0000_t202" style="position:absolute;left:0;text-align:left;margin-left:156.55pt;margin-top:45.1pt;width:113.95pt;height:36.25pt;z-index:251665408;mso-width-relative:margin;mso-height-relative:margin" strokecolor="white [3212]" strokeweight="0">
            <v:textbox style="mso-next-textbox:#_x0000_s1034">
              <w:txbxContent>
                <w:p w:rsidR="00E91D8C" w:rsidRPr="00350CE9" w:rsidRDefault="00E91D8C" w:rsidP="00D539FA">
                  <w:pPr>
                    <w:jc w:val="center"/>
                    <w:rPr>
                      <w:sz w:val="21"/>
                      <w:szCs w:val="21"/>
                      <w:lang w:val="en-US"/>
                    </w:rPr>
                  </w:pPr>
                  <w:r>
                    <w:rPr>
                      <w:sz w:val="21"/>
                      <w:szCs w:val="21"/>
                    </w:rPr>
                    <w:t>Денежно-кредитное регулирование</w:t>
                  </w:r>
                </w:p>
              </w:txbxContent>
            </v:textbox>
          </v:shape>
        </w:pict>
      </w:r>
      <w:r>
        <w:rPr>
          <w:noProof/>
          <w:lang w:val="en-US" w:eastAsia="en-US" w:bidi="ar-SA"/>
        </w:rPr>
        <w:pict>
          <v:shape id="_x0000_s1033" type="#_x0000_t202" style="position:absolute;left:0;text-align:left;margin-left:165.55pt;margin-top:15.6pt;width:92.8pt;height:17.75pt;z-index:251664384;mso-width-relative:margin;mso-height-relative:margin" strokecolor="white [3212]" strokeweight="0">
            <v:textbox style="mso-next-textbox:#_x0000_s1033">
              <w:txbxContent>
                <w:p w:rsidR="00E91D8C" w:rsidRPr="00350CE9" w:rsidRDefault="00E91D8C" w:rsidP="00D539FA">
                  <w:pPr>
                    <w:jc w:val="center"/>
                    <w:rPr>
                      <w:sz w:val="21"/>
                      <w:szCs w:val="21"/>
                      <w:lang w:val="en-US"/>
                    </w:rPr>
                  </w:pPr>
                  <w:r>
                    <w:rPr>
                      <w:sz w:val="21"/>
                      <w:szCs w:val="21"/>
                    </w:rPr>
                    <w:t>Инвестиции</w:t>
                  </w:r>
                </w:p>
              </w:txbxContent>
            </v:textbox>
          </v:shape>
        </w:pict>
      </w:r>
      <w:r>
        <w:rPr>
          <w:noProof/>
          <w:lang w:val="en-US" w:eastAsia="en-US" w:bidi="ar-SA"/>
        </w:rPr>
        <w:pict>
          <v:shape id="_x0000_s1032" type="#_x0000_t202" style="position:absolute;left:0;text-align:left;margin-left:4.3pt;margin-top:291.85pt;width:100.45pt;height:36.25pt;z-index:251663360;mso-width-relative:margin;mso-height-relative:margin" strokecolor="white [3212]" strokeweight="0">
            <v:textbox style="mso-next-textbox:#_x0000_s1032">
              <w:txbxContent>
                <w:p w:rsidR="00E91D8C" w:rsidRPr="00350CE9" w:rsidRDefault="00E91D8C" w:rsidP="00D539FA">
                  <w:pPr>
                    <w:jc w:val="center"/>
                    <w:rPr>
                      <w:sz w:val="21"/>
                      <w:szCs w:val="21"/>
                      <w:lang w:val="en-US"/>
                    </w:rPr>
                  </w:pPr>
                  <w:r>
                    <w:rPr>
                      <w:sz w:val="21"/>
                      <w:szCs w:val="21"/>
                    </w:rPr>
                    <w:t>Экологическое</w:t>
                  </w:r>
                  <w:r w:rsidRPr="00350CE9">
                    <w:rPr>
                      <w:sz w:val="21"/>
                      <w:szCs w:val="21"/>
                    </w:rPr>
                    <w:t xml:space="preserve"> регулирование</w:t>
                  </w:r>
                </w:p>
              </w:txbxContent>
            </v:textbox>
          </v:shape>
        </w:pict>
      </w:r>
      <w:r>
        <w:rPr>
          <w:noProof/>
          <w:lang w:val="en-US" w:eastAsia="en-US" w:bidi="ar-SA"/>
        </w:rPr>
        <w:pict>
          <v:shape id="_x0000_s1031" type="#_x0000_t202" style="position:absolute;left:0;text-align:left;margin-left:2.1pt;margin-top:240.35pt;width:100.45pt;height:36.25pt;z-index:251662336;mso-width-relative:margin;mso-height-relative:margin" strokecolor="white [3212]" strokeweight="0">
            <v:textbox style="mso-next-textbox:#_x0000_s1031">
              <w:txbxContent>
                <w:p w:rsidR="00DE3A8A" w:rsidRPr="00350CE9" w:rsidRDefault="00DE3A8A" w:rsidP="00D539FA">
                  <w:pPr>
                    <w:jc w:val="center"/>
                    <w:rPr>
                      <w:sz w:val="21"/>
                      <w:szCs w:val="21"/>
                      <w:lang w:val="en-US"/>
                    </w:rPr>
                  </w:pPr>
                  <w:r w:rsidRPr="00350CE9">
                    <w:rPr>
                      <w:sz w:val="21"/>
                      <w:szCs w:val="21"/>
                    </w:rPr>
                    <w:t>Социальное регулирование</w:t>
                  </w:r>
                </w:p>
              </w:txbxContent>
            </v:textbox>
          </v:shape>
        </w:pict>
      </w:r>
      <w:r>
        <w:rPr>
          <w:noProof/>
          <w:lang w:val="en-US" w:eastAsia="en-US" w:bidi="ar-SA"/>
        </w:rPr>
        <w:pict>
          <v:shape id="_x0000_s1030" type="#_x0000_t202" style="position:absolute;left:0;text-align:left;margin-left:3.35pt;margin-top:159.55pt;width:101.35pt;height:38.8pt;z-index:251661312;mso-height-percent:200;mso-height-percent:200;mso-width-relative:margin;mso-height-relative:margin" strokecolor="white [3212]" strokeweight="0">
            <v:textbox style="mso-fit-shape-to-text:t">
              <w:txbxContent>
                <w:p w:rsidR="00D539FA" w:rsidRPr="00804432" w:rsidRDefault="00DE3A8A" w:rsidP="00D539FA">
                  <w:pPr>
                    <w:jc w:val="center"/>
                    <w:rPr>
                      <w:lang w:val="en-US"/>
                    </w:rPr>
                  </w:pPr>
                  <w:r>
                    <w:t>Нормативное</w:t>
                  </w:r>
                  <w:r w:rsidR="00D539FA">
                    <w:t xml:space="preserve"> регулирование</w:t>
                  </w:r>
                </w:p>
              </w:txbxContent>
            </v:textbox>
          </v:shape>
        </w:pict>
      </w:r>
      <w:r>
        <w:rPr>
          <w:noProof/>
          <w:lang w:eastAsia="zh-TW"/>
        </w:rPr>
        <w:pict>
          <v:shape id="_x0000_s1029" type="#_x0000_t202" style="position:absolute;left:0;text-align:left;margin-left:1.75pt;margin-top:15.55pt;width:101.35pt;height:38.8pt;z-index:251660288;mso-height-percent:200;mso-height-percent:200;mso-width-relative:margin;mso-height-relative:margin" strokecolor="white [3212]" strokeweight="0">
            <v:textbox style="mso-fit-shape-to-text:t">
              <w:txbxContent>
                <w:p w:rsidR="00804432" w:rsidRPr="00804432" w:rsidRDefault="00D539FA" w:rsidP="00D539FA">
                  <w:pPr>
                    <w:jc w:val="center"/>
                    <w:rPr>
                      <w:lang w:val="en-US"/>
                    </w:rPr>
                  </w:pPr>
                  <w:r>
                    <w:t>Финансовое регулирование</w:t>
                  </w:r>
                </w:p>
              </w:txbxContent>
            </v:textbox>
          </v:shape>
        </w:pict>
      </w:r>
      <w:r>
        <w:fldChar w:fldCharType="begin"/>
      </w:r>
      <w:r>
        <w:instrText xml:space="preserve"> </w:instrText>
      </w:r>
      <w:r>
        <w:instrText>INCLUDEPICTURE  "C:\\Users\\Hayk\\Desktop\\media\\image2.jpeg" \* MERGEFORMATINET</w:instrText>
      </w:r>
      <w:r>
        <w:instrText xml:space="preserve"> </w:instrText>
      </w:r>
      <w:r>
        <w:fldChar w:fldCharType="separate"/>
      </w:r>
      <w:r w:rsidR="002225D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53.25pt">
            <v:imagedata r:id="rId8" r:href="rId9"/>
          </v:shape>
        </w:pict>
      </w:r>
      <w:r>
        <w:fldChar w:fldCharType="end"/>
      </w:r>
    </w:p>
    <w:p w:rsidR="00A17F3E" w:rsidRPr="00AD0310" w:rsidRDefault="00A17F3E" w:rsidP="00477040">
      <w:pPr>
        <w:spacing w:after="120"/>
        <w:ind w:firstLine="567"/>
      </w:pPr>
    </w:p>
    <w:p w:rsidR="00A17F3E" w:rsidRPr="00AD0310" w:rsidRDefault="00AD0310" w:rsidP="00477040">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10.</w:t>
      </w:r>
      <w:r>
        <w:rPr>
          <w:rFonts w:ascii="Sylfaen" w:hAnsi="Sylfaen"/>
          <w:sz w:val="24"/>
          <w:szCs w:val="24"/>
        </w:rPr>
        <w:t xml:space="preserve"> </w:t>
      </w:r>
      <w:r w:rsidR="00DD4FDA" w:rsidRPr="00AD0310">
        <w:rPr>
          <w:rFonts w:ascii="Sylfaen" w:hAnsi="Sylfaen"/>
          <w:sz w:val="24"/>
          <w:szCs w:val="24"/>
        </w:rPr>
        <w:t>Государственное регулирование агропродовольственного рынка и поддержки агропромышленного комплекса является важнейшей проблемой, поскольку от сельскохозяйственного производства и состояния агропродовольственного рынка зависят продовольственная безопасность страны и решение социальной проблемы занятости сельского населения.</w:t>
      </w:r>
    </w:p>
    <w:p w:rsidR="00477040" w:rsidRDefault="00477040" w:rsidP="00477040">
      <w:pPr>
        <w:pStyle w:val="Bodytext20"/>
        <w:shd w:val="clear" w:color="auto" w:fill="auto"/>
        <w:spacing w:before="0" w:after="120" w:line="240" w:lineRule="auto"/>
        <w:ind w:firstLine="0"/>
        <w:jc w:val="center"/>
        <w:rPr>
          <w:rFonts w:ascii="Sylfaen" w:hAnsi="Sylfaen"/>
          <w:sz w:val="24"/>
          <w:szCs w:val="24"/>
        </w:rPr>
      </w:pPr>
    </w:p>
    <w:p w:rsidR="00A17F3E" w:rsidRPr="00AD0310" w:rsidRDefault="00DD4FDA" w:rsidP="00477040">
      <w:pPr>
        <w:pStyle w:val="Bodytext20"/>
        <w:shd w:val="clear" w:color="auto" w:fill="auto"/>
        <w:spacing w:before="0" w:after="120" w:line="240" w:lineRule="auto"/>
        <w:ind w:left="1134" w:right="1126" w:firstLine="0"/>
        <w:jc w:val="center"/>
        <w:rPr>
          <w:rFonts w:ascii="Sylfaen" w:hAnsi="Sylfaen"/>
          <w:sz w:val="24"/>
          <w:szCs w:val="24"/>
        </w:rPr>
      </w:pPr>
      <w:r w:rsidRPr="00AD0310">
        <w:rPr>
          <w:rFonts w:ascii="Sylfaen" w:hAnsi="Sylfaen"/>
          <w:sz w:val="24"/>
          <w:szCs w:val="24"/>
        </w:rPr>
        <w:t>III. Этапы проведения оценки эффективности</w:t>
      </w:r>
      <w:r w:rsidR="00AD0310">
        <w:rPr>
          <w:rFonts w:ascii="Sylfaen" w:hAnsi="Sylfaen"/>
          <w:sz w:val="24"/>
          <w:szCs w:val="24"/>
        </w:rPr>
        <w:t xml:space="preserve"> </w:t>
      </w:r>
      <w:r w:rsidRPr="00AD0310">
        <w:rPr>
          <w:rFonts w:ascii="Sylfaen" w:hAnsi="Sylfaen"/>
          <w:sz w:val="24"/>
          <w:szCs w:val="24"/>
        </w:rPr>
        <w:t>государственного регулирования</w:t>
      </w:r>
    </w:p>
    <w:p w:rsidR="0040758F" w:rsidRDefault="0040758F" w:rsidP="00477040">
      <w:pPr>
        <w:pStyle w:val="Bodytext20"/>
        <w:shd w:val="clear" w:color="auto" w:fill="auto"/>
        <w:spacing w:before="0" w:after="120" w:line="240" w:lineRule="auto"/>
        <w:ind w:left="1134" w:right="1126" w:firstLine="0"/>
        <w:jc w:val="center"/>
        <w:rPr>
          <w:rFonts w:ascii="Sylfaen" w:hAnsi="Sylfaen"/>
          <w:sz w:val="24"/>
          <w:szCs w:val="24"/>
        </w:rPr>
      </w:pPr>
    </w:p>
    <w:p w:rsidR="00A17F3E" w:rsidRPr="00AD0310" w:rsidRDefault="00AD0310" w:rsidP="00477040">
      <w:pPr>
        <w:pStyle w:val="Bodytext20"/>
        <w:shd w:val="clear" w:color="auto" w:fill="auto"/>
        <w:spacing w:before="0" w:after="120" w:line="240" w:lineRule="auto"/>
        <w:ind w:left="1134" w:right="1126" w:firstLine="0"/>
        <w:jc w:val="center"/>
        <w:rPr>
          <w:rFonts w:ascii="Sylfaen" w:hAnsi="Sylfaen"/>
          <w:sz w:val="24"/>
          <w:szCs w:val="24"/>
        </w:rPr>
      </w:pPr>
      <w:r w:rsidRPr="00AD0310">
        <w:rPr>
          <w:rFonts w:ascii="Sylfaen" w:hAnsi="Sylfaen"/>
          <w:sz w:val="24"/>
          <w:szCs w:val="24"/>
        </w:rPr>
        <w:t>1.</w:t>
      </w:r>
      <w:r>
        <w:rPr>
          <w:rFonts w:ascii="Sylfaen" w:hAnsi="Sylfaen"/>
          <w:sz w:val="24"/>
          <w:szCs w:val="24"/>
        </w:rPr>
        <w:t xml:space="preserve"> </w:t>
      </w:r>
      <w:r w:rsidR="00DD4FDA" w:rsidRPr="00AD0310">
        <w:rPr>
          <w:rFonts w:ascii="Sylfaen" w:hAnsi="Sylfaen"/>
          <w:sz w:val="24"/>
          <w:szCs w:val="24"/>
        </w:rPr>
        <w:t>Первый этап проведения оценки эффективности государственного регулирования</w:t>
      </w:r>
    </w:p>
    <w:p w:rsidR="00A17F3E" w:rsidRPr="00AD0310" w:rsidRDefault="00AD0310" w:rsidP="0040758F">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11.</w:t>
      </w:r>
      <w:r>
        <w:rPr>
          <w:rFonts w:ascii="Sylfaen" w:hAnsi="Sylfaen"/>
          <w:sz w:val="24"/>
          <w:szCs w:val="24"/>
        </w:rPr>
        <w:t xml:space="preserve"> </w:t>
      </w:r>
      <w:r w:rsidR="00DD4FDA" w:rsidRPr="00AD0310">
        <w:rPr>
          <w:rFonts w:ascii="Sylfaen" w:hAnsi="Sylfaen"/>
          <w:sz w:val="24"/>
          <w:szCs w:val="24"/>
        </w:rPr>
        <w:t>Для целей настоящей Методологии для определения и систематизации целей поддержки агропромышленного комплекса проводится анализ принятых в определенный период нормативных</w:t>
      </w:r>
      <w:r w:rsidR="00DD4FDA" w:rsidRPr="00AD0310">
        <w:rPr>
          <w:rFonts w:ascii="Sylfaen" w:hAnsi="Sylfaen"/>
          <w:sz w:val="24"/>
          <w:szCs w:val="24"/>
          <w:lang w:eastAsia="en-US" w:bidi="en-US"/>
        </w:rPr>
        <w:t xml:space="preserve"> </w:t>
      </w:r>
      <w:r w:rsidR="00DD4FDA" w:rsidRPr="00AD0310">
        <w:rPr>
          <w:rFonts w:ascii="Sylfaen" w:hAnsi="Sylfaen"/>
          <w:sz w:val="24"/>
          <w:szCs w:val="24"/>
        </w:rPr>
        <w:t xml:space="preserve">правовых актов государств-членов, которыми вводятся в действие те или иные меры поддержки. В зависимости от применяемых в конкретном государстве-члене методов (программно-целевых, проектных и т. п.) государственного регулирования агропродовольственного рынка и поддержки агропромышленного комплекса анализируются решения соответствующих </w:t>
      </w:r>
      <w:r w:rsidR="00DD4FDA" w:rsidRPr="00AD0310">
        <w:rPr>
          <w:rFonts w:ascii="Sylfaen" w:hAnsi="Sylfaen"/>
          <w:sz w:val="24"/>
          <w:szCs w:val="24"/>
        </w:rPr>
        <w:lastRenderedPageBreak/>
        <w:t>государственных органов, выявляются аналогичные (типовые), комплементарные и (или) индивидуальные цели, указанные в данных актах в связи с введением какой-либо меры регулирования и (или) поддержки, и систематизируются по следующим группам:</w:t>
      </w:r>
    </w:p>
    <w:p w:rsidR="00A17F3E" w:rsidRPr="00AD0310" w:rsidRDefault="00DD4FDA" w:rsidP="0040758F">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аналогичные - имеющие одинаковый смысл или подобные в национальных государственных программах развития в сфере агропромышленного комплекса (эти цели в последующем относятся к общим типовым целям);</w:t>
      </w:r>
    </w:p>
    <w:p w:rsidR="00A17F3E" w:rsidRPr="00AD0310" w:rsidRDefault="00DD4FDA" w:rsidP="0040758F">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комплементарные</w:t>
      </w:r>
      <w:r w:rsidR="00AD0310">
        <w:rPr>
          <w:rFonts w:ascii="Sylfaen" w:hAnsi="Sylfaen"/>
          <w:sz w:val="24"/>
          <w:szCs w:val="24"/>
        </w:rPr>
        <w:t xml:space="preserve"> </w:t>
      </w:r>
      <w:r w:rsidRPr="00AD0310">
        <w:rPr>
          <w:rFonts w:ascii="Sylfaen" w:hAnsi="Sylfaen"/>
          <w:sz w:val="24"/>
          <w:szCs w:val="24"/>
        </w:rPr>
        <w:t>-</w:t>
      </w:r>
      <w:r w:rsidR="00AD0310">
        <w:rPr>
          <w:rFonts w:ascii="Sylfaen" w:hAnsi="Sylfaen"/>
          <w:sz w:val="24"/>
          <w:szCs w:val="24"/>
        </w:rPr>
        <w:t xml:space="preserve"> </w:t>
      </w:r>
      <w:r w:rsidRPr="00AD0310">
        <w:rPr>
          <w:rFonts w:ascii="Sylfaen" w:hAnsi="Sylfaen"/>
          <w:sz w:val="24"/>
          <w:szCs w:val="24"/>
        </w:rPr>
        <w:t>подразумевающие</w:t>
      </w:r>
      <w:r w:rsidR="00AD0310">
        <w:rPr>
          <w:rFonts w:ascii="Sylfaen" w:hAnsi="Sylfaen"/>
          <w:sz w:val="24"/>
          <w:szCs w:val="24"/>
        </w:rPr>
        <w:t xml:space="preserve"> </w:t>
      </w:r>
      <w:r w:rsidRPr="00AD0310">
        <w:rPr>
          <w:rFonts w:ascii="Sylfaen" w:hAnsi="Sylfaen"/>
          <w:sz w:val="24"/>
          <w:szCs w:val="24"/>
        </w:rPr>
        <w:t>решение</w:t>
      </w:r>
      <w:r w:rsidRPr="00AD0310">
        <w:rPr>
          <w:rFonts w:ascii="Sylfaen" w:hAnsi="Sylfaen"/>
          <w:sz w:val="24"/>
          <w:szCs w:val="24"/>
          <w:lang w:eastAsia="en-US" w:bidi="en-US"/>
        </w:rPr>
        <w:t xml:space="preserve"> </w:t>
      </w:r>
      <w:r w:rsidRPr="00AD0310">
        <w:rPr>
          <w:rFonts w:ascii="Sylfaen" w:hAnsi="Sylfaen"/>
          <w:sz w:val="24"/>
          <w:szCs w:val="24"/>
        </w:rPr>
        <w:t>взаимодополняющих задач в рамках соответствующих целей при реализации совместных проектов в Союзе;</w:t>
      </w:r>
    </w:p>
    <w:p w:rsidR="00A17F3E" w:rsidRPr="00AD0310" w:rsidRDefault="00DD4FDA" w:rsidP="0040758F">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индивидуальные (специфические) - определенные государствами- членами как необходимые в заданный период развития.</w:t>
      </w:r>
    </w:p>
    <w:p w:rsidR="00A17F3E" w:rsidRPr="00AD0310" w:rsidRDefault="00DD4FDA" w:rsidP="0040758F">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В случае если цель не указана прямо, исследуется экономический характер инструментов и (или) механизмов, используемых для реализации мер поддержки агропромышленного комплекса, с учетом норм международных соглашений, к которым присоединились государства-члены, и иных норм международного права (например, если государство находится в процессе присоединения).</w:t>
      </w:r>
    </w:p>
    <w:p w:rsidR="00A17F3E" w:rsidRPr="00AD0310" w:rsidRDefault="00DD4FDA" w:rsidP="0040758F">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Эффективность мер государственного регулирования агропродовольственного рынка и поддержки агропромышленного комплекса соотносится с определением достижения или недостижения</w:t>
      </w:r>
      <w:r w:rsidRPr="00AD0310">
        <w:rPr>
          <w:rFonts w:ascii="Sylfaen" w:hAnsi="Sylfaen"/>
          <w:sz w:val="24"/>
          <w:szCs w:val="24"/>
          <w:lang w:eastAsia="en-US" w:bidi="en-US"/>
        </w:rPr>
        <w:t xml:space="preserve"> </w:t>
      </w:r>
      <w:r w:rsidRPr="00AD0310">
        <w:rPr>
          <w:rFonts w:ascii="Sylfaen" w:hAnsi="Sylfaen"/>
          <w:sz w:val="24"/>
          <w:szCs w:val="24"/>
        </w:rPr>
        <w:t>целей регулирования (целей принятия мер) и поддержки. Соответственно, объектами оценки являются цели, а предметом - меры государственного регулирования и поддержки.</w:t>
      </w:r>
    </w:p>
    <w:p w:rsidR="00A17F3E" w:rsidRPr="00AD0310" w:rsidRDefault="00AD0310" w:rsidP="0040758F">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12.</w:t>
      </w:r>
      <w:r>
        <w:rPr>
          <w:rFonts w:ascii="Sylfaen" w:hAnsi="Sylfaen"/>
          <w:sz w:val="24"/>
          <w:szCs w:val="24"/>
        </w:rPr>
        <w:t xml:space="preserve"> </w:t>
      </w:r>
      <w:r w:rsidR="00DD4FDA" w:rsidRPr="00AD0310">
        <w:rPr>
          <w:rFonts w:ascii="Sylfaen" w:hAnsi="Sylfaen"/>
          <w:sz w:val="24"/>
          <w:szCs w:val="24"/>
        </w:rPr>
        <w:t>Анализ может проводиться как по мерам, способствующим более эффективному проведению политики государственного регулирования агропродовольственного рынка и поддержки агропромышленного комплекса в целом с учетом всех целей их развития, то есть всей совокупности применяемых мер регулирования и (или) поддержки, так и по мерам, направленным на достижение отдельных целей развития агропродовольственного рынка и агропромышленного комплекса (при этом одна мера может обеспечивать реализацию одновременно нескольких целей).</w:t>
      </w:r>
    </w:p>
    <w:p w:rsidR="00A17F3E" w:rsidRPr="00AD0310" w:rsidRDefault="00DD4FDA" w:rsidP="00AD0310">
      <w:pPr>
        <w:pStyle w:val="Bodytext20"/>
        <w:shd w:val="clear" w:color="auto" w:fill="auto"/>
        <w:spacing w:before="0" w:after="120" w:line="240" w:lineRule="auto"/>
        <w:ind w:left="1160"/>
        <w:rPr>
          <w:rFonts w:ascii="Sylfaen" w:hAnsi="Sylfaen"/>
          <w:sz w:val="24"/>
          <w:szCs w:val="24"/>
        </w:rPr>
      </w:pPr>
      <w:r w:rsidRPr="00AD0310">
        <w:rPr>
          <w:rFonts w:ascii="Sylfaen" w:hAnsi="Sylfaen"/>
          <w:sz w:val="24"/>
          <w:szCs w:val="24"/>
        </w:rPr>
        <w:t xml:space="preserve">Пример. Цель «обеспечение продовольственной независимости» определяют не только отдельные государства, но и международные организации, занимающиеся проблемами улучшения питания и ликвидации голода и нищеты в мире. Однако существует разница в понимании как сути самой цели, так и того, каким набором мер может быть достигнута данная цель. Так, государство определяет достижение указанной цели как удовлетворение внутреннего спроса за счет реализации мер поддержки национальных производителей, сохраняя тем самым по сути национальную независимость. В то же время независимость полностью исключается из понятия «безопасность», поскольку Продовольственная и сельскохозяйственная организация Объединенных Наций (ФАО) концептуально закрепила, что продовольственная безопасность - это </w:t>
      </w:r>
      <w:r w:rsidRPr="00AD0310">
        <w:rPr>
          <w:rFonts w:ascii="Sylfaen" w:hAnsi="Sylfaen"/>
          <w:sz w:val="24"/>
          <w:szCs w:val="24"/>
        </w:rPr>
        <w:lastRenderedPageBreak/>
        <w:t>обеспечение доступности (физической и экономической) безопасного продовольствия для населения, а не самообеспечение. По определению ФАО, национальное производство у любого государства должно быть развито на том уровне, при котором с учетом сравнительных преимуществ и международного разделения труда полное удовлетворение потребностей обеспечивается в большей степени за счет импорта.</w:t>
      </w:r>
    </w:p>
    <w:p w:rsidR="00A17F3E" w:rsidRPr="00AD0310" w:rsidRDefault="00AD0310" w:rsidP="0040758F">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13.</w:t>
      </w:r>
      <w:r>
        <w:rPr>
          <w:rFonts w:ascii="Sylfaen" w:hAnsi="Sylfaen"/>
          <w:sz w:val="24"/>
          <w:szCs w:val="24"/>
        </w:rPr>
        <w:t xml:space="preserve"> </w:t>
      </w:r>
      <w:r w:rsidR="00DD4FDA" w:rsidRPr="00AD0310">
        <w:rPr>
          <w:rFonts w:ascii="Sylfaen" w:hAnsi="Sylfaen"/>
          <w:sz w:val="24"/>
          <w:szCs w:val="24"/>
        </w:rPr>
        <w:t>Анализ совокупности мер государственного регулирования агропродовольственного рынка и поддержки агропромышленного комплекса, применяемых для достижения комплементарных целей, проводится в отношении реализации совместных программ государств- членов, в которых они закреплены.</w:t>
      </w:r>
    </w:p>
    <w:p w:rsidR="00A17F3E" w:rsidRPr="00AD0310" w:rsidRDefault="00AD0310" w:rsidP="0040758F">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14.</w:t>
      </w:r>
      <w:r>
        <w:rPr>
          <w:rFonts w:ascii="Sylfaen" w:hAnsi="Sylfaen"/>
          <w:sz w:val="24"/>
          <w:szCs w:val="24"/>
        </w:rPr>
        <w:t xml:space="preserve"> </w:t>
      </w:r>
      <w:r w:rsidR="00DD4FDA" w:rsidRPr="00AD0310">
        <w:rPr>
          <w:rFonts w:ascii="Sylfaen" w:hAnsi="Sylfaen"/>
          <w:sz w:val="24"/>
          <w:szCs w:val="24"/>
        </w:rPr>
        <w:t>Анализ совокупности мер государственного регулирования агропродовольственного рынка и поддержки агропромышленного комплекса, применяемых для достижения индивидуальных (специфических) целей, проводится в отношении соответствующих решений, принятых в отдельном государстве-члене в определенный период.</w:t>
      </w:r>
    </w:p>
    <w:p w:rsidR="0040758F" w:rsidRDefault="0040758F" w:rsidP="00AD0310">
      <w:pPr>
        <w:pStyle w:val="Bodytext20"/>
        <w:shd w:val="clear" w:color="auto" w:fill="auto"/>
        <w:spacing w:before="0" w:after="120" w:line="240" w:lineRule="auto"/>
        <w:ind w:left="2560" w:hanging="1080"/>
        <w:jc w:val="left"/>
        <w:rPr>
          <w:rFonts w:ascii="Sylfaen" w:hAnsi="Sylfaen"/>
          <w:sz w:val="24"/>
          <w:szCs w:val="24"/>
        </w:rPr>
      </w:pPr>
    </w:p>
    <w:p w:rsidR="00A17F3E" w:rsidRPr="00AD0310" w:rsidRDefault="00AD0310" w:rsidP="0040758F">
      <w:pPr>
        <w:pStyle w:val="Bodytext20"/>
        <w:shd w:val="clear" w:color="auto" w:fill="auto"/>
        <w:spacing w:before="0" w:after="120" w:line="240" w:lineRule="auto"/>
        <w:ind w:left="1134" w:right="1126" w:hanging="8"/>
        <w:jc w:val="center"/>
        <w:rPr>
          <w:rFonts w:ascii="Sylfaen" w:hAnsi="Sylfaen"/>
          <w:sz w:val="24"/>
          <w:szCs w:val="24"/>
        </w:rPr>
      </w:pPr>
      <w:r w:rsidRPr="00AD0310">
        <w:rPr>
          <w:rFonts w:ascii="Sylfaen" w:hAnsi="Sylfaen"/>
          <w:sz w:val="24"/>
          <w:szCs w:val="24"/>
        </w:rPr>
        <w:t>2.</w:t>
      </w:r>
      <w:r>
        <w:rPr>
          <w:rFonts w:ascii="Sylfaen" w:hAnsi="Sylfaen"/>
          <w:sz w:val="24"/>
          <w:szCs w:val="24"/>
        </w:rPr>
        <w:t xml:space="preserve"> </w:t>
      </w:r>
      <w:r w:rsidR="00DD4FDA" w:rsidRPr="00AD0310">
        <w:rPr>
          <w:rFonts w:ascii="Sylfaen" w:hAnsi="Sylfaen"/>
          <w:sz w:val="24"/>
          <w:szCs w:val="24"/>
        </w:rPr>
        <w:t>Второй этап проведения оценки эффективности государственного регулирования</w:t>
      </w:r>
    </w:p>
    <w:p w:rsidR="00A17F3E" w:rsidRPr="00AD0310" w:rsidRDefault="00AD0310"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15.</w:t>
      </w:r>
      <w:r>
        <w:rPr>
          <w:rFonts w:ascii="Sylfaen" w:hAnsi="Sylfaen"/>
          <w:sz w:val="24"/>
          <w:szCs w:val="24"/>
        </w:rPr>
        <w:t xml:space="preserve"> </w:t>
      </w:r>
      <w:r w:rsidR="00DD4FDA" w:rsidRPr="00AD0310">
        <w:rPr>
          <w:rFonts w:ascii="Sylfaen" w:hAnsi="Sylfaen"/>
          <w:sz w:val="24"/>
          <w:szCs w:val="24"/>
        </w:rPr>
        <w:t>Отнесение целей к аналогичным (типовым) обосновано их универсальным характером в отношении ключевых направлений развития агропродовольственного рынка и агропромышленного комплекса:</w:t>
      </w:r>
    </w:p>
    <w:p w:rsidR="00A17F3E" w:rsidRPr="00AD0310" w:rsidRDefault="00DD4FDA"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решение стратегических задач, связанных с обеспечением агропродовольственного рынка;</w:t>
      </w:r>
    </w:p>
    <w:p w:rsidR="00A17F3E" w:rsidRPr="00AD0310" w:rsidRDefault="00DD4FDA"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развитие производственной базы агропромышленного комплекса;</w:t>
      </w:r>
    </w:p>
    <w:p w:rsidR="00A17F3E" w:rsidRPr="00AD0310" w:rsidRDefault="00DD4FDA"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рациональное использование финансовых и материальных ресурсов;</w:t>
      </w:r>
    </w:p>
    <w:p w:rsidR="00A17F3E" w:rsidRPr="00AD0310" w:rsidRDefault="00DD4FDA"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создание условий для устойчивой коммерческой деятельности и финансовой устойчивости предприятий агропромышленного комплекса.</w:t>
      </w:r>
    </w:p>
    <w:p w:rsidR="00A17F3E" w:rsidRPr="00AD0310" w:rsidRDefault="00DD4FDA"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Таким образом, результаты реализации типовых целей показывают общие финансово-экономические, материально- технические и стратегические итоги развития агропродовольственного</w:t>
      </w:r>
      <w:r w:rsidRPr="00AD0310">
        <w:rPr>
          <w:rFonts w:ascii="Sylfaen" w:hAnsi="Sylfaen"/>
          <w:sz w:val="24"/>
          <w:szCs w:val="24"/>
          <w:lang w:eastAsia="en-US" w:bidi="en-US"/>
        </w:rPr>
        <w:t xml:space="preserve"> </w:t>
      </w:r>
      <w:r w:rsidRPr="00AD0310">
        <w:rPr>
          <w:rFonts w:ascii="Sylfaen" w:hAnsi="Sylfaen"/>
          <w:sz w:val="24"/>
          <w:szCs w:val="24"/>
        </w:rPr>
        <w:t>рынка и агропромышленного комплекса в результате применения мер государственного регулирования и поддержки.</w:t>
      </w:r>
    </w:p>
    <w:p w:rsidR="00A17F3E" w:rsidRPr="00AD0310" w:rsidRDefault="00AD0310"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16.</w:t>
      </w:r>
      <w:r>
        <w:rPr>
          <w:rFonts w:ascii="Sylfaen" w:hAnsi="Sylfaen"/>
          <w:sz w:val="24"/>
          <w:szCs w:val="24"/>
        </w:rPr>
        <w:t xml:space="preserve"> </w:t>
      </w:r>
      <w:r w:rsidR="00DD4FDA" w:rsidRPr="00AD0310">
        <w:rPr>
          <w:rFonts w:ascii="Sylfaen" w:hAnsi="Sylfaen"/>
          <w:sz w:val="24"/>
          <w:szCs w:val="24"/>
        </w:rPr>
        <w:t>Для проведения оценки эффективности мер государственного регулирования агропродовольственного рынка и поддержки агропромышленного комплекса в государствах-членах из сформированной группы аналогичных целей в среднесрочном периоде выделяются следующие общие (типовые) цели:</w:t>
      </w:r>
    </w:p>
    <w:p w:rsidR="00A17F3E" w:rsidRPr="00AD0310" w:rsidRDefault="00AD0310"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1)</w:t>
      </w:r>
      <w:r>
        <w:rPr>
          <w:rFonts w:ascii="Sylfaen" w:hAnsi="Sylfaen"/>
          <w:sz w:val="24"/>
          <w:szCs w:val="24"/>
        </w:rPr>
        <w:t xml:space="preserve"> </w:t>
      </w:r>
      <w:r w:rsidR="00DD4FDA" w:rsidRPr="00AD0310">
        <w:rPr>
          <w:rFonts w:ascii="Sylfaen" w:hAnsi="Sylfaen"/>
          <w:sz w:val="24"/>
          <w:szCs w:val="24"/>
        </w:rPr>
        <w:t>обеспечение продовольственной независимости;</w:t>
      </w:r>
    </w:p>
    <w:p w:rsidR="00A17F3E" w:rsidRPr="00AD0310" w:rsidRDefault="00AD0310"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2)</w:t>
      </w:r>
      <w:r>
        <w:rPr>
          <w:rFonts w:ascii="Sylfaen" w:hAnsi="Sylfaen"/>
          <w:sz w:val="24"/>
          <w:szCs w:val="24"/>
        </w:rPr>
        <w:t xml:space="preserve"> </w:t>
      </w:r>
      <w:r w:rsidR="00DD4FDA" w:rsidRPr="00AD0310">
        <w:rPr>
          <w:rFonts w:ascii="Sylfaen" w:hAnsi="Sylfaen"/>
          <w:sz w:val="24"/>
          <w:szCs w:val="24"/>
        </w:rPr>
        <w:t>повышение финансовой устойчивости;</w:t>
      </w:r>
    </w:p>
    <w:p w:rsidR="00A17F3E" w:rsidRPr="00AD0310" w:rsidRDefault="00AD0310"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3)</w:t>
      </w:r>
      <w:r>
        <w:rPr>
          <w:rFonts w:ascii="Sylfaen" w:hAnsi="Sylfaen"/>
          <w:sz w:val="24"/>
          <w:szCs w:val="24"/>
        </w:rPr>
        <w:t xml:space="preserve"> </w:t>
      </w:r>
      <w:r w:rsidR="00DD4FDA" w:rsidRPr="00AD0310">
        <w:rPr>
          <w:rFonts w:ascii="Sylfaen" w:hAnsi="Sylfaen"/>
          <w:sz w:val="24"/>
          <w:szCs w:val="24"/>
        </w:rPr>
        <w:t>устойчивое развитие сельских территорий;</w:t>
      </w:r>
    </w:p>
    <w:p w:rsidR="00A17F3E" w:rsidRPr="00AD0310" w:rsidRDefault="00AD0310"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lastRenderedPageBreak/>
        <w:t>4)</w:t>
      </w:r>
      <w:r>
        <w:rPr>
          <w:rFonts w:ascii="Sylfaen" w:hAnsi="Sylfaen"/>
          <w:sz w:val="24"/>
          <w:szCs w:val="24"/>
        </w:rPr>
        <w:t xml:space="preserve"> </w:t>
      </w:r>
      <w:r w:rsidR="00DD4FDA" w:rsidRPr="00AD0310">
        <w:rPr>
          <w:rFonts w:ascii="Sylfaen" w:hAnsi="Sylfaen"/>
          <w:sz w:val="24"/>
          <w:szCs w:val="24"/>
        </w:rPr>
        <w:t>воспроизводство и повышение эффективности использования ресурсов;</w:t>
      </w:r>
    </w:p>
    <w:p w:rsidR="00A17F3E" w:rsidRPr="00AD0310" w:rsidRDefault="00AD0310"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5)</w:t>
      </w:r>
      <w:r>
        <w:rPr>
          <w:rFonts w:ascii="Sylfaen" w:hAnsi="Sylfaen"/>
          <w:sz w:val="24"/>
          <w:szCs w:val="24"/>
        </w:rPr>
        <w:t xml:space="preserve"> </w:t>
      </w:r>
      <w:r w:rsidR="00DD4FDA" w:rsidRPr="00AD0310">
        <w:rPr>
          <w:rFonts w:ascii="Sylfaen" w:hAnsi="Sylfaen"/>
          <w:sz w:val="24"/>
          <w:szCs w:val="24"/>
        </w:rPr>
        <w:t>обеспечение сбыта сельскохозяйственной продукции, повышение ее товарности;</w:t>
      </w:r>
    </w:p>
    <w:p w:rsidR="00A17F3E" w:rsidRPr="00AD0310" w:rsidRDefault="00AD0310"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6)</w:t>
      </w:r>
      <w:r>
        <w:rPr>
          <w:rFonts w:ascii="Sylfaen" w:hAnsi="Sylfaen"/>
          <w:sz w:val="24"/>
          <w:szCs w:val="24"/>
        </w:rPr>
        <w:t xml:space="preserve"> </w:t>
      </w:r>
      <w:r w:rsidR="00DD4FDA" w:rsidRPr="00AD0310">
        <w:rPr>
          <w:rFonts w:ascii="Sylfaen" w:hAnsi="Sylfaen"/>
          <w:sz w:val="24"/>
          <w:szCs w:val="24"/>
        </w:rPr>
        <w:t>поддержка развития инфраструктуры агропродовольственного рынка.</w:t>
      </w:r>
    </w:p>
    <w:p w:rsidR="00A17F3E" w:rsidRPr="00AD0310" w:rsidRDefault="00AD0310"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17.</w:t>
      </w:r>
      <w:r>
        <w:rPr>
          <w:rFonts w:ascii="Sylfaen" w:hAnsi="Sylfaen"/>
          <w:sz w:val="24"/>
          <w:szCs w:val="24"/>
        </w:rPr>
        <w:t xml:space="preserve"> </w:t>
      </w:r>
      <w:r w:rsidR="00DD4FDA" w:rsidRPr="00AD0310">
        <w:rPr>
          <w:rFonts w:ascii="Sylfaen" w:hAnsi="Sylfaen"/>
          <w:sz w:val="24"/>
          <w:szCs w:val="24"/>
        </w:rPr>
        <w:t>Типовые цели могут уточняться в результате первого этапа анализа и формирования группы аналогичных целей. Изменение типовых целей отражает глобальные сдвиги на рынках и ответные решения государств-членов по применению соответствующих мер государственного регулирования и (или) поддержки агропромышленного комплекса, которые отражаются в государственных программах, проектах и (или) совокупности принимаемых государственными органами государств-членов регулирующих решений.</w:t>
      </w:r>
    </w:p>
    <w:p w:rsidR="00A17F3E" w:rsidRPr="00AD0310" w:rsidRDefault="00AD0310"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18.</w:t>
      </w:r>
      <w:r>
        <w:rPr>
          <w:rFonts w:ascii="Sylfaen" w:hAnsi="Sylfaen"/>
          <w:sz w:val="24"/>
          <w:szCs w:val="24"/>
        </w:rPr>
        <w:t xml:space="preserve"> </w:t>
      </w:r>
      <w:r w:rsidR="00DD4FDA" w:rsidRPr="00AD0310">
        <w:rPr>
          <w:rFonts w:ascii="Sylfaen" w:hAnsi="Sylfaen"/>
          <w:sz w:val="24"/>
          <w:szCs w:val="24"/>
        </w:rPr>
        <w:t>Достижение цели поддержки агропромышленного комплекса определяется в соответствии со следующими критериями:</w:t>
      </w:r>
    </w:p>
    <w:p w:rsidR="00A17F3E" w:rsidRPr="00AD0310" w:rsidRDefault="00DD4FDA"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результативность: насколько достигнуты цели и выполнены задачи, какие основные факторы влияют на достижение или недостижение цели;</w:t>
      </w:r>
    </w:p>
    <w:p w:rsidR="00A17F3E" w:rsidRPr="00AD0310" w:rsidRDefault="00DD4FDA"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оптимальность:</w:t>
      </w:r>
      <w:r w:rsidR="00AD0310">
        <w:rPr>
          <w:rFonts w:ascii="Sylfaen" w:hAnsi="Sylfaen"/>
          <w:sz w:val="24"/>
          <w:szCs w:val="24"/>
        </w:rPr>
        <w:t xml:space="preserve"> </w:t>
      </w:r>
      <w:r w:rsidRPr="00AD0310">
        <w:rPr>
          <w:rFonts w:ascii="Sylfaen" w:hAnsi="Sylfaen"/>
          <w:sz w:val="24"/>
          <w:szCs w:val="24"/>
        </w:rPr>
        <w:t>насколько оптимально были использованы</w:t>
      </w:r>
      <w:r w:rsidRPr="00AD0310">
        <w:rPr>
          <w:rFonts w:ascii="Sylfaen" w:hAnsi="Sylfaen"/>
          <w:sz w:val="24"/>
          <w:szCs w:val="24"/>
          <w:lang w:eastAsia="en-US" w:bidi="en-US"/>
        </w:rPr>
        <w:t xml:space="preserve"> </w:t>
      </w:r>
      <w:r w:rsidRPr="00AD0310">
        <w:rPr>
          <w:rFonts w:ascii="Sylfaen" w:hAnsi="Sylfaen"/>
          <w:sz w:val="24"/>
          <w:szCs w:val="24"/>
        </w:rPr>
        <w:t>ресурсы для достижения результатов, достигнуты ли результаты своевременно;</w:t>
      </w:r>
    </w:p>
    <w:p w:rsidR="00A17F3E" w:rsidRPr="00AD0310" w:rsidRDefault="00DD4FDA"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влияние: оцениваются положительные и отрицательные изменения (анализируются результаты реализации мер, возможные причины, повлиявшие на такие результаты);</w:t>
      </w:r>
    </w:p>
    <w:p w:rsidR="00A17F3E" w:rsidRPr="00AD0310" w:rsidRDefault="00DD4FDA"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устойчивость: продолжительность положительного эффекта после окончания реализации или прекращения финансирования, основные факторы, влияющие на устойчивость меры;</w:t>
      </w:r>
    </w:p>
    <w:p w:rsidR="00A17F3E" w:rsidRPr="00AD0310" w:rsidRDefault="00DD4FDA"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затратность: соотношение отдачи к издержкам.</w:t>
      </w:r>
    </w:p>
    <w:p w:rsidR="00A17F3E" w:rsidRPr="00AD0310" w:rsidRDefault="00DD4FDA" w:rsidP="00F06FFA">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Каждый</w:t>
      </w:r>
      <w:r w:rsidR="00AD0310">
        <w:rPr>
          <w:rFonts w:ascii="Sylfaen" w:hAnsi="Sylfaen"/>
          <w:sz w:val="24"/>
          <w:szCs w:val="24"/>
        </w:rPr>
        <w:t xml:space="preserve"> </w:t>
      </w:r>
      <w:r w:rsidRPr="00AD0310">
        <w:rPr>
          <w:rFonts w:ascii="Sylfaen" w:hAnsi="Sylfaen"/>
          <w:sz w:val="24"/>
          <w:szCs w:val="24"/>
        </w:rPr>
        <w:t>критерий</w:t>
      </w:r>
      <w:r w:rsidR="00AD0310">
        <w:rPr>
          <w:rFonts w:ascii="Sylfaen" w:hAnsi="Sylfaen"/>
          <w:sz w:val="24"/>
          <w:szCs w:val="24"/>
        </w:rPr>
        <w:t xml:space="preserve"> </w:t>
      </w:r>
      <w:r w:rsidRPr="00AD0310">
        <w:rPr>
          <w:rFonts w:ascii="Sylfaen" w:hAnsi="Sylfaen"/>
          <w:sz w:val="24"/>
          <w:szCs w:val="24"/>
        </w:rPr>
        <w:t>может</w:t>
      </w:r>
      <w:r w:rsidR="00AD0310">
        <w:rPr>
          <w:rFonts w:ascii="Sylfaen" w:hAnsi="Sylfaen"/>
          <w:sz w:val="24"/>
          <w:szCs w:val="24"/>
        </w:rPr>
        <w:t xml:space="preserve"> </w:t>
      </w:r>
      <w:r w:rsidRPr="00AD0310">
        <w:rPr>
          <w:rFonts w:ascii="Sylfaen" w:hAnsi="Sylfaen"/>
          <w:sz w:val="24"/>
          <w:szCs w:val="24"/>
        </w:rPr>
        <w:t>характеризоваться</w:t>
      </w:r>
      <w:r w:rsidRPr="00AD0310">
        <w:rPr>
          <w:rFonts w:ascii="Sylfaen" w:hAnsi="Sylfaen"/>
          <w:sz w:val="24"/>
          <w:szCs w:val="24"/>
          <w:lang w:eastAsia="en-US" w:bidi="en-US"/>
        </w:rPr>
        <w:t xml:space="preserve"> </w:t>
      </w:r>
      <w:r w:rsidRPr="00AD0310">
        <w:rPr>
          <w:rFonts w:ascii="Sylfaen" w:hAnsi="Sylfaen"/>
          <w:sz w:val="24"/>
          <w:szCs w:val="24"/>
        </w:rPr>
        <w:t>от 1 до 3 статистических показателей, которые измеряются в динамике.</w:t>
      </w:r>
    </w:p>
    <w:p w:rsidR="00F06FFA" w:rsidRDefault="00F06FFA" w:rsidP="00AD0310">
      <w:pPr>
        <w:pStyle w:val="Bodytext20"/>
        <w:shd w:val="clear" w:color="auto" w:fill="auto"/>
        <w:spacing w:before="0" w:after="120" w:line="240" w:lineRule="auto"/>
        <w:ind w:left="2560" w:hanging="1060"/>
        <w:jc w:val="left"/>
        <w:rPr>
          <w:rFonts w:ascii="Sylfaen" w:hAnsi="Sylfaen"/>
          <w:sz w:val="24"/>
          <w:szCs w:val="24"/>
        </w:rPr>
      </w:pPr>
    </w:p>
    <w:p w:rsidR="00A17F3E" w:rsidRPr="00AD0310" w:rsidRDefault="00AD0310" w:rsidP="00F06FFA">
      <w:pPr>
        <w:pStyle w:val="Bodytext20"/>
        <w:shd w:val="clear" w:color="auto" w:fill="auto"/>
        <w:spacing w:before="0" w:after="120" w:line="240" w:lineRule="auto"/>
        <w:ind w:left="1134" w:right="1126" w:hanging="8"/>
        <w:jc w:val="center"/>
        <w:rPr>
          <w:rFonts w:ascii="Sylfaen" w:hAnsi="Sylfaen"/>
          <w:sz w:val="24"/>
          <w:szCs w:val="24"/>
        </w:rPr>
      </w:pPr>
      <w:r w:rsidRPr="00AD0310">
        <w:rPr>
          <w:rFonts w:ascii="Sylfaen" w:hAnsi="Sylfaen"/>
          <w:sz w:val="24"/>
          <w:szCs w:val="24"/>
        </w:rPr>
        <w:t>3.</w:t>
      </w:r>
      <w:r>
        <w:rPr>
          <w:rFonts w:ascii="Sylfaen" w:hAnsi="Sylfaen"/>
          <w:sz w:val="24"/>
          <w:szCs w:val="24"/>
        </w:rPr>
        <w:t xml:space="preserve"> </w:t>
      </w:r>
      <w:r w:rsidR="00DD4FDA" w:rsidRPr="00AD0310">
        <w:rPr>
          <w:rFonts w:ascii="Sylfaen" w:hAnsi="Sylfaen"/>
          <w:sz w:val="24"/>
          <w:szCs w:val="24"/>
        </w:rPr>
        <w:t>Третий этап проведения оценки эффективности государственного регулирования</w:t>
      </w:r>
    </w:p>
    <w:p w:rsidR="00A17F3E" w:rsidRPr="00AD0310" w:rsidRDefault="00AD0310" w:rsidP="00AD0310">
      <w:pPr>
        <w:pStyle w:val="Bodytext20"/>
        <w:shd w:val="clear" w:color="auto" w:fill="auto"/>
        <w:spacing w:before="0" w:after="120" w:line="240" w:lineRule="auto"/>
        <w:ind w:firstLine="740"/>
        <w:rPr>
          <w:rFonts w:ascii="Sylfaen" w:hAnsi="Sylfaen"/>
          <w:sz w:val="24"/>
          <w:szCs w:val="24"/>
        </w:rPr>
      </w:pPr>
      <w:r w:rsidRPr="00AD0310">
        <w:rPr>
          <w:rFonts w:ascii="Sylfaen" w:hAnsi="Sylfaen"/>
          <w:sz w:val="24"/>
          <w:szCs w:val="24"/>
        </w:rPr>
        <w:t>19.</w:t>
      </w:r>
      <w:r>
        <w:rPr>
          <w:rFonts w:ascii="Sylfaen" w:hAnsi="Sylfaen"/>
          <w:sz w:val="24"/>
          <w:szCs w:val="24"/>
        </w:rPr>
        <w:t xml:space="preserve"> </w:t>
      </w:r>
      <w:r w:rsidR="00DD4FDA" w:rsidRPr="00AD0310">
        <w:rPr>
          <w:rFonts w:ascii="Sylfaen" w:hAnsi="Sylfaen"/>
          <w:sz w:val="24"/>
          <w:szCs w:val="24"/>
        </w:rPr>
        <w:t>Производятся соотнесение критериев и показателей состояния объекта оценки, расчет и обработка данных для анализа эффективности мер государственного регулирования агропродовольственного рынка и поддержки агропромышленного комплекса.</w:t>
      </w:r>
    </w:p>
    <w:p w:rsidR="00F06FFA" w:rsidRDefault="00DD4FDA" w:rsidP="00F06FFA">
      <w:pPr>
        <w:pStyle w:val="Bodytext20"/>
        <w:shd w:val="clear" w:color="auto" w:fill="auto"/>
        <w:spacing w:before="0" w:after="120" w:line="240" w:lineRule="auto"/>
        <w:ind w:firstLine="740"/>
        <w:rPr>
          <w:rFonts w:ascii="Sylfaen" w:hAnsi="Sylfaen"/>
          <w:sz w:val="24"/>
          <w:szCs w:val="24"/>
        </w:rPr>
      </w:pPr>
      <w:r w:rsidRPr="00AD0310">
        <w:rPr>
          <w:rFonts w:ascii="Sylfaen" w:hAnsi="Sylfaen"/>
          <w:sz w:val="24"/>
          <w:szCs w:val="24"/>
        </w:rPr>
        <w:t>В настоящей Методологии используются 7 типов показателей, которые суммарно включают в себя 31 показатель для оценки. Указанные показатели распределяются в соответствии с критериями результативности, оптимальности, влияния, устойчивости и затратности для каждой цели государственного регулирования (таблицы 1 и 2).</w:t>
      </w:r>
    </w:p>
    <w:p w:rsidR="00A17F3E" w:rsidRPr="00AD0310" w:rsidRDefault="00DD4FDA" w:rsidP="00F06FFA">
      <w:pPr>
        <w:pStyle w:val="Bodytext20"/>
        <w:shd w:val="clear" w:color="auto" w:fill="auto"/>
        <w:spacing w:before="0" w:after="120" w:line="240" w:lineRule="auto"/>
        <w:ind w:firstLine="740"/>
        <w:jc w:val="right"/>
        <w:rPr>
          <w:rFonts w:ascii="Sylfaen" w:hAnsi="Sylfaen"/>
          <w:sz w:val="24"/>
          <w:szCs w:val="24"/>
        </w:rPr>
      </w:pPr>
      <w:r w:rsidRPr="00AD0310">
        <w:rPr>
          <w:rStyle w:val="Bodytext9Spacing0pt"/>
          <w:rFonts w:ascii="Sylfaen" w:hAnsi="Sylfaen"/>
          <w:sz w:val="24"/>
          <w:szCs w:val="24"/>
        </w:rPr>
        <w:lastRenderedPageBreak/>
        <w:t>Таблица 1</w:t>
      </w:r>
    </w:p>
    <w:p w:rsidR="00A17F3E" w:rsidRPr="00AD0310" w:rsidRDefault="00A17F3E" w:rsidP="00AD0310">
      <w:pPr>
        <w:spacing w:after="120"/>
      </w:pPr>
    </w:p>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Fonts w:ascii="Sylfaen" w:hAnsi="Sylfaen"/>
          <w:sz w:val="24"/>
          <w:szCs w:val="24"/>
        </w:rPr>
        <w:t>Перечень показателей для оценки эффективности мер государственного</w:t>
      </w:r>
      <w:r w:rsidR="00AD0310">
        <w:rPr>
          <w:rFonts w:ascii="Sylfaen" w:hAnsi="Sylfaen"/>
          <w:sz w:val="24"/>
          <w:szCs w:val="24"/>
        </w:rPr>
        <w:t xml:space="preserve"> </w:t>
      </w:r>
      <w:r w:rsidRPr="00AD0310">
        <w:rPr>
          <w:rFonts w:ascii="Sylfaen" w:hAnsi="Sylfaen"/>
          <w:sz w:val="24"/>
          <w:szCs w:val="24"/>
        </w:rPr>
        <w:t>регулирования агропромышленного комплекса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83"/>
        <w:gridCol w:w="6894"/>
      </w:tblGrid>
      <w:tr w:rsidR="00A17F3E" w:rsidRPr="00AD0310" w:rsidTr="00AD0310">
        <w:trPr>
          <w:jc w:val="center"/>
        </w:trPr>
        <w:tc>
          <w:tcPr>
            <w:tcW w:w="2383" w:type="dxa"/>
            <w:tcBorders>
              <w:top w:val="single" w:sz="4" w:space="0" w:color="auto"/>
              <w:left w:val="single" w:sz="4" w:space="0" w:color="auto"/>
            </w:tcBorders>
            <w:shd w:val="clear" w:color="auto" w:fill="FFFFFF"/>
            <w:vAlign w:val="center"/>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Тип показателей</w:t>
            </w:r>
          </w:p>
        </w:tc>
        <w:tc>
          <w:tcPr>
            <w:tcW w:w="6894" w:type="dxa"/>
            <w:tcBorders>
              <w:top w:val="single" w:sz="4" w:space="0" w:color="auto"/>
              <w:left w:val="single" w:sz="4" w:space="0" w:color="auto"/>
              <w:right w:val="single" w:sz="4" w:space="0" w:color="auto"/>
            </w:tcBorders>
            <w:shd w:val="clear" w:color="auto" w:fill="FFFFFF"/>
            <w:vAlign w:val="center"/>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Наименование показателя</w:t>
            </w:r>
          </w:p>
        </w:tc>
      </w:tr>
      <w:tr w:rsidR="00A17F3E" w:rsidRPr="00AD0310" w:rsidTr="00AD0310">
        <w:trPr>
          <w:jc w:val="center"/>
        </w:trPr>
        <w:tc>
          <w:tcPr>
            <w:tcW w:w="2383" w:type="dxa"/>
            <w:tcBorders>
              <w:top w:val="single" w:sz="4" w:space="0" w:color="auto"/>
            </w:tcBorders>
            <w:shd w:val="clear" w:color="auto" w:fill="FFFFFF"/>
          </w:tcPr>
          <w:p w:rsidR="00A17F3E" w:rsidRPr="00AD0310" w:rsidRDefault="00CB39DF" w:rsidP="00CB39DF">
            <w:pPr>
              <w:pStyle w:val="Bodytext20"/>
              <w:shd w:val="clear" w:color="auto" w:fill="auto"/>
              <w:spacing w:before="0" w:after="120" w:line="240" w:lineRule="auto"/>
              <w:ind w:left="97" w:firstLine="0"/>
              <w:jc w:val="left"/>
              <w:rPr>
                <w:rFonts w:ascii="Sylfaen" w:hAnsi="Sylfaen"/>
                <w:sz w:val="24"/>
                <w:szCs w:val="24"/>
              </w:rPr>
            </w:pPr>
            <w:r>
              <w:rPr>
                <w:rStyle w:val="Bodytext295pt"/>
                <w:rFonts w:ascii="Sylfaen" w:hAnsi="Sylfaen"/>
                <w:sz w:val="24"/>
                <w:szCs w:val="24"/>
              </w:rPr>
              <w:t xml:space="preserve">1. </w:t>
            </w:r>
            <w:r w:rsidR="00DD4FDA" w:rsidRPr="00AD0310">
              <w:rPr>
                <w:rStyle w:val="Bodytext295pt"/>
                <w:rFonts w:ascii="Sylfaen" w:hAnsi="Sylfaen"/>
                <w:sz w:val="24"/>
                <w:szCs w:val="24"/>
              </w:rPr>
              <w:t>Показатели финансового положения</w:t>
            </w:r>
          </w:p>
        </w:tc>
        <w:tc>
          <w:tcPr>
            <w:tcW w:w="6894" w:type="dxa"/>
            <w:tcBorders>
              <w:top w:val="single" w:sz="4" w:space="0" w:color="auto"/>
            </w:tcBorders>
            <w:shd w:val="clear" w:color="auto" w:fill="FFFFFF"/>
            <w:vAlign w:val="bottom"/>
          </w:tcPr>
          <w:p w:rsidR="004845A4" w:rsidRDefault="004845A4" w:rsidP="00AD0310">
            <w:pPr>
              <w:pStyle w:val="Bodytext20"/>
              <w:shd w:val="clear" w:color="auto" w:fill="auto"/>
              <w:spacing w:before="0" w:after="120" w:line="240" w:lineRule="auto"/>
              <w:ind w:firstLine="0"/>
              <w:jc w:val="left"/>
              <w:rPr>
                <w:rStyle w:val="Bodytext295pt"/>
                <w:rFonts w:ascii="Sylfaen" w:hAnsi="Sylfaen"/>
                <w:sz w:val="24"/>
                <w:szCs w:val="24"/>
              </w:rPr>
            </w:pPr>
            <w:r>
              <w:rPr>
                <w:rStyle w:val="Bodytext295pt"/>
                <w:rFonts w:ascii="Sylfaen" w:hAnsi="Sylfaen"/>
                <w:sz w:val="24"/>
                <w:szCs w:val="24"/>
              </w:rPr>
              <w:t>изменение объема активов;</w:t>
            </w:r>
          </w:p>
          <w:p w:rsidR="004845A4" w:rsidRDefault="00DD4FDA" w:rsidP="00AD0310">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t>коэффициент текущей ликвидности;</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отношение задолженности к активам;</w:t>
            </w:r>
          </w:p>
          <w:p w:rsidR="004845A4" w:rsidRDefault="00DD4FDA" w:rsidP="00AD0310">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t xml:space="preserve">рентабельность (убыточность) проданных товаров, </w:t>
            </w:r>
            <w:r w:rsidR="004845A4">
              <w:rPr>
                <w:rStyle w:val="Bodytext295pt"/>
                <w:rFonts w:ascii="Sylfaen" w:hAnsi="Sylfaen"/>
                <w:sz w:val="24"/>
                <w:szCs w:val="24"/>
              </w:rPr>
              <w:t>продукции, работ, услуг;</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рентабельность активов</w:t>
            </w:r>
          </w:p>
        </w:tc>
      </w:tr>
      <w:tr w:rsidR="00A17F3E" w:rsidRPr="00AD0310" w:rsidTr="00AD0310">
        <w:trPr>
          <w:jc w:val="center"/>
        </w:trPr>
        <w:tc>
          <w:tcPr>
            <w:tcW w:w="2383" w:type="dxa"/>
            <w:shd w:val="clear" w:color="auto" w:fill="FFFFFF"/>
          </w:tcPr>
          <w:p w:rsidR="00A17F3E" w:rsidRPr="00AD0310" w:rsidRDefault="00DD4FDA" w:rsidP="00CB39DF">
            <w:pPr>
              <w:pStyle w:val="Bodytext20"/>
              <w:shd w:val="clear" w:color="auto" w:fill="auto"/>
              <w:spacing w:before="0" w:after="120" w:line="240" w:lineRule="auto"/>
              <w:ind w:left="97" w:firstLine="0"/>
              <w:jc w:val="left"/>
              <w:rPr>
                <w:rFonts w:ascii="Sylfaen" w:hAnsi="Sylfaen"/>
                <w:sz w:val="24"/>
                <w:szCs w:val="24"/>
              </w:rPr>
            </w:pPr>
            <w:r w:rsidRPr="00AD0310">
              <w:rPr>
                <w:rStyle w:val="Bodytext295pt"/>
                <w:rFonts w:ascii="Sylfaen" w:hAnsi="Sylfaen"/>
                <w:sz w:val="24"/>
                <w:szCs w:val="24"/>
              </w:rPr>
              <w:t>2. Показатели производства</w:t>
            </w:r>
          </w:p>
        </w:tc>
        <w:tc>
          <w:tcPr>
            <w:tcW w:w="6894" w:type="dxa"/>
            <w:shd w:val="clear" w:color="auto" w:fill="FFFFFF"/>
          </w:tcPr>
          <w:p w:rsidR="004845A4" w:rsidRDefault="00DD4FDA" w:rsidP="00AD0310">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t>до</w:t>
            </w:r>
            <w:r w:rsidR="004845A4">
              <w:rPr>
                <w:rStyle w:val="Bodytext295pt"/>
                <w:rFonts w:ascii="Sylfaen" w:hAnsi="Sylfaen"/>
                <w:sz w:val="24"/>
                <w:szCs w:val="24"/>
              </w:rPr>
              <w:t>ля расходов на импортное сырье;</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индекс производства</w:t>
            </w:r>
          </w:p>
        </w:tc>
      </w:tr>
      <w:tr w:rsidR="00A17F3E" w:rsidRPr="00AD0310" w:rsidTr="004845A4">
        <w:trPr>
          <w:jc w:val="center"/>
        </w:trPr>
        <w:tc>
          <w:tcPr>
            <w:tcW w:w="2383" w:type="dxa"/>
            <w:shd w:val="clear" w:color="auto" w:fill="FFFFFF"/>
            <w:vAlign w:val="bottom"/>
          </w:tcPr>
          <w:p w:rsidR="00A17F3E" w:rsidRPr="00AD0310" w:rsidRDefault="00DD4FDA" w:rsidP="00CB39DF">
            <w:pPr>
              <w:pStyle w:val="Bodytext20"/>
              <w:shd w:val="clear" w:color="auto" w:fill="auto"/>
              <w:spacing w:before="0" w:after="120" w:line="240" w:lineRule="auto"/>
              <w:ind w:left="97" w:firstLine="0"/>
              <w:jc w:val="left"/>
              <w:rPr>
                <w:rFonts w:ascii="Sylfaen" w:hAnsi="Sylfaen"/>
                <w:sz w:val="24"/>
                <w:szCs w:val="24"/>
              </w:rPr>
            </w:pPr>
            <w:r w:rsidRPr="00AD0310">
              <w:rPr>
                <w:rStyle w:val="Bodytext295pt"/>
                <w:rFonts w:ascii="Sylfaen" w:hAnsi="Sylfaen"/>
                <w:sz w:val="24"/>
                <w:szCs w:val="24"/>
              </w:rPr>
              <w:t>3. Показатели инвестиций</w:t>
            </w:r>
          </w:p>
        </w:tc>
        <w:tc>
          <w:tcPr>
            <w:tcW w:w="6894" w:type="dxa"/>
            <w:shd w:val="clear" w:color="auto" w:fill="FFFFFF"/>
          </w:tcPr>
          <w:p w:rsidR="00A17F3E" w:rsidRPr="00AD0310" w:rsidRDefault="00DD4FDA" w:rsidP="004845A4">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доля расходов на НИОКР в прибыли</w:t>
            </w:r>
          </w:p>
        </w:tc>
      </w:tr>
      <w:tr w:rsidR="00A17F3E" w:rsidRPr="00AD0310" w:rsidTr="00AD0310">
        <w:trPr>
          <w:jc w:val="center"/>
        </w:trPr>
        <w:tc>
          <w:tcPr>
            <w:tcW w:w="2383" w:type="dxa"/>
            <w:shd w:val="clear" w:color="auto" w:fill="FFFFFF"/>
          </w:tcPr>
          <w:p w:rsidR="00A17F3E" w:rsidRPr="00AD0310" w:rsidRDefault="00DD4FDA" w:rsidP="004845A4">
            <w:pPr>
              <w:pStyle w:val="Bodytext20"/>
              <w:shd w:val="clear" w:color="auto" w:fill="auto"/>
              <w:spacing w:before="0" w:after="120" w:line="240" w:lineRule="auto"/>
              <w:ind w:left="97" w:firstLine="0"/>
              <w:jc w:val="left"/>
              <w:rPr>
                <w:rFonts w:ascii="Sylfaen" w:hAnsi="Sylfaen"/>
                <w:sz w:val="24"/>
                <w:szCs w:val="24"/>
              </w:rPr>
            </w:pPr>
            <w:r w:rsidRPr="00AD0310">
              <w:rPr>
                <w:rStyle w:val="Bodytext295pt"/>
                <w:rFonts w:ascii="Sylfaen" w:hAnsi="Sylfaen"/>
                <w:sz w:val="24"/>
                <w:szCs w:val="24"/>
              </w:rPr>
              <w:t>4. Показатели труда</w:t>
            </w:r>
          </w:p>
        </w:tc>
        <w:tc>
          <w:tcPr>
            <w:tcW w:w="6894" w:type="dxa"/>
            <w:shd w:val="clear" w:color="auto" w:fill="FFFFFF"/>
            <w:vAlign w:val="center"/>
          </w:tcPr>
          <w:p w:rsidR="004845A4" w:rsidRDefault="00DD4FDA" w:rsidP="00AD0310">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t xml:space="preserve">среднегодовая численность занятых в сельском </w:t>
            </w:r>
            <w:r w:rsidR="004845A4">
              <w:rPr>
                <w:rStyle w:val="Bodytext295pt"/>
                <w:rFonts w:ascii="Sylfaen" w:hAnsi="Sylfaen"/>
                <w:sz w:val="24"/>
                <w:szCs w:val="24"/>
              </w:rPr>
              <w:t>хозяйстве;</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среднемесячная реальная заработная плата, начисленная 1 работнику</w:t>
            </w:r>
          </w:p>
        </w:tc>
      </w:tr>
      <w:tr w:rsidR="00A17F3E" w:rsidRPr="00AD0310" w:rsidTr="00AD0310">
        <w:trPr>
          <w:jc w:val="center"/>
        </w:trPr>
        <w:tc>
          <w:tcPr>
            <w:tcW w:w="2383" w:type="dxa"/>
            <w:shd w:val="clear" w:color="auto" w:fill="FFFFFF"/>
          </w:tcPr>
          <w:p w:rsidR="00A17F3E" w:rsidRPr="00AD0310" w:rsidRDefault="00DD4FDA" w:rsidP="004845A4">
            <w:pPr>
              <w:pStyle w:val="Bodytext20"/>
              <w:shd w:val="clear" w:color="auto" w:fill="auto"/>
              <w:spacing w:before="0" w:after="120" w:line="240" w:lineRule="auto"/>
              <w:ind w:left="97" w:firstLine="0"/>
              <w:jc w:val="left"/>
              <w:rPr>
                <w:rFonts w:ascii="Sylfaen" w:hAnsi="Sylfaen"/>
                <w:sz w:val="24"/>
                <w:szCs w:val="24"/>
              </w:rPr>
            </w:pPr>
            <w:r w:rsidRPr="00AD0310">
              <w:rPr>
                <w:rStyle w:val="Bodytext295pt"/>
                <w:rFonts w:ascii="Sylfaen" w:hAnsi="Sylfaen"/>
                <w:sz w:val="24"/>
                <w:szCs w:val="24"/>
              </w:rPr>
              <w:t>5. Показатели цены</w:t>
            </w:r>
          </w:p>
        </w:tc>
        <w:tc>
          <w:tcPr>
            <w:tcW w:w="6894" w:type="dxa"/>
            <w:shd w:val="clear" w:color="auto" w:fill="FFFFFF"/>
            <w:vAlign w:val="center"/>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динамика отношения цен производителей к потребительским ценам;</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индекс цен на промышленные товары для сельскохозяйственных организаций;</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индекс цен производителей</w:t>
            </w:r>
          </w:p>
        </w:tc>
      </w:tr>
      <w:tr w:rsidR="00A17F3E" w:rsidRPr="00AD0310" w:rsidTr="00AD0310">
        <w:trPr>
          <w:jc w:val="center"/>
        </w:trPr>
        <w:tc>
          <w:tcPr>
            <w:tcW w:w="2383" w:type="dxa"/>
            <w:shd w:val="clear" w:color="auto" w:fill="FFFFFF"/>
          </w:tcPr>
          <w:p w:rsidR="00A17F3E" w:rsidRPr="00AD0310" w:rsidRDefault="00DD4FDA" w:rsidP="004845A4">
            <w:pPr>
              <w:pStyle w:val="Bodytext20"/>
              <w:shd w:val="clear" w:color="auto" w:fill="auto"/>
              <w:spacing w:before="0" w:after="120" w:line="240" w:lineRule="auto"/>
              <w:ind w:left="97" w:firstLine="0"/>
              <w:jc w:val="left"/>
              <w:rPr>
                <w:rFonts w:ascii="Sylfaen" w:hAnsi="Sylfaen"/>
                <w:sz w:val="24"/>
                <w:szCs w:val="24"/>
              </w:rPr>
            </w:pPr>
            <w:r w:rsidRPr="00AD0310">
              <w:rPr>
                <w:rStyle w:val="Bodytext295pt"/>
                <w:rFonts w:ascii="Sylfaen" w:hAnsi="Sylfaen"/>
                <w:sz w:val="24"/>
                <w:szCs w:val="24"/>
              </w:rPr>
              <w:t>6. Показатели внешней торговли</w:t>
            </w:r>
          </w:p>
        </w:tc>
        <w:tc>
          <w:tcPr>
            <w:tcW w:w="6894" w:type="dxa"/>
            <w:shd w:val="clear" w:color="auto" w:fill="FFFFFF"/>
            <w:vAlign w:val="center"/>
          </w:tcPr>
          <w:p w:rsidR="00634E8B" w:rsidRDefault="00DD4FDA" w:rsidP="00AD0310">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t>ввозные пошлины;</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вывозные пошлины;</w:t>
            </w:r>
          </w:p>
          <w:p w:rsidR="00634E8B" w:rsidRDefault="00DD4FDA" w:rsidP="00AD0310">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t>динами</w:t>
            </w:r>
            <w:r w:rsidR="00634E8B">
              <w:rPr>
                <w:rStyle w:val="Bodytext295pt"/>
                <w:rFonts w:ascii="Sylfaen" w:hAnsi="Sylfaen"/>
                <w:sz w:val="24"/>
                <w:szCs w:val="24"/>
              </w:rPr>
              <w:t>ка физических объемов экспорта;</w:t>
            </w:r>
          </w:p>
          <w:p w:rsidR="00634E8B" w:rsidRDefault="00DD4FDA" w:rsidP="00634E8B">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t>индекс физического объема импорта;</w:t>
            </w:r>
          </w:p>
          <w:p w:rsidR="00A17F3E" w:rsidRPr="00AD0310" w:rsidRDefault="00DD4FDA" w:rsidP="00634E8B">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количество дополнительных нетарифных мер</w:t>
            </w:r>
          </w:p>
        </w:tc>
      </w:tr>
      <w:tr w:rsidR="00A17F3E" w:rsidRPr="00AD0310" w:rsidTr="00AD0310">
        <w:trPr>
          <w:jc w:val="center"/>
        </w:trPr>
        <w:tc>
          <w:tcPr>
            <w:tcW w:w="2383" w:type="dxa"/>
            <w:shd w:val="clear" w:color="auto" w:fill="FFFFFF"/>
          </w:tcPr>
          <w:p w:rsidR="00A17F3E" w:rsidRPr="00AD0310" w:rsidRDefault="00DD4FDA" w:rsidP="004845A4">
            <w:pPr>
              <w:pStyle w:val="Bodytext20"/>
              <w:shd w:val="clear" w:color="auto" w:fill="auto"/>
              <w:spacing w:before="0" w:after="120" w:line="240" w:lineRule="auto"/>
              <w:ind w:left="97" w:firstLine="0"/>
              <w:jc w:val="left"/>
              <w:rPr>
                <w:rFonts w:ascii="Sylfaen" w:hAnsi="Sylfaen"/>
                <w:sz w:val="24"/>
                <w:szCs w:val="24"/>
              </w:rPr>
            </w:pPr>
            <w:r w:rsidRPr="00AD0310">
              <w:rPr>
                <w:rStyle w:val="Bodytext295pt"/>
                <w:rFonts w:ascii="Sylfaen" w:hAnsi="Sylfaen"/>
                <w:sz w:val="24"/>
                <w:szCs w:val="24"/>
              </w:rPr>
              <w:t>7. Дополнительные показатели</w:t>
            </w:r>
          </w:p>
        </w:tc>
        <w:tc>
          <w:tcPr>
            <w:tcW w:w="6894" w:type="dxa"/>
            <w:shd w:val="clear" w:color="auto" w:fill="FFFFFF"/>
            <w:vAlign w:val="bottom"/>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динамика потерь;</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доля импорта в ресурсах;</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изменение объемов запасов;</w:t>
            </w:r>
          </w:p>
          <w:p w:rsidR="00634E8B" w:rsidRDefault="00DD4FDA" w:rsidP="00AD0310">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t>индекс отношения объемов поддержки к потреблению;</w:t>
            </w:r>
          </w:p>
          <w:p w:rsidR="00634E8B" w:rsidRDefault="00DD4FDA" w:rsidP="00AD0310">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t>индекс посев</w:t>
            </w:r>
            <w:r w:rsidR="00634E8B">
              <w:rPr>
                <w:rStyle w:val="Bodytext295pt"/>
                <w:rFonts w:ascii="Sylfaen" w:hAnsi="Sylfaen"/>
                <w:sz w:val="24"/>
                <w:szCs w:val="24"/>
              </w:rPr>
              <w:t>ных площадей и поголовья скота;</w:t>
            </w:r>
          </w:p>
          <w:p w:rsidR="00634E8B" w:rsidRDefault="00DD4FDA" w:rsidP="00AD0310">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lastRenderedPageBreak/>
              <w:t>индекс производственного потребления;</w:t>
            </w:r>
          </w:p>
          <w:p w:rsidR="00634E8B" w:rsidRDefault="00DD4FDA" w:rsidP="00AD0310">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t>отношение поддержки к производству;</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площади хранилищ;</w:t>
            </w:r>
          </w:p>
          <w:p w:rsidR="00866B31" w:rsidRDefault="00DD4FDA" w:rsidP="00AD0310">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t xml:space="preserve">потребление основных продуктов </w:t>
            </w:r>
            <w:r w:rsidR="00866B31">
              <w:rPr>
                <w:rStyle w:val="Bodytext295pt"/>
                <w:rFonts w:ascii="Sylfaen" w:hAnsi="Sylfaen"/>
                <w:sz w:val="24"/>
                <w:szCs w:val="24"/>
              </w:rPr>
              <w:t>питания;</w:t>
            </w:r>
          </w:p>
          <w:p w:rsidR="00866B31" w:rsidRDefault="00DD4FDA" w:rsidP="00AD0310">
            <w:pPr>
              <w:pStyle w:val="Bodytext20"/>
              <w:shd w:val="clear" w:color="auto" w:fill="auto"/>
              <w:spacing w:before="0" w:after="120" w:line="240" w:lineRule="auto"/>
              <w:ind w:firstLine="0"/>
              <w:jc w:val="left"/>
              <w:rPr>
                <w:rStyle w:val="Bodytext295pt"/>
                <w:rFonts w:ascii="Sylfaen" w:hAnsi="Sylfaen"/>
                <w:sz w:val="24"/>
                <w:szCs w:val="24"/>
              </w:rPr>
            </w:pPr>
            <w:r w:rsidRPr="00AD0310">
              <w:rPr>
                <w:rStyle w:val="Bodytext295pt"/>
                <w:rFonts w:ascii="Sylfaen" w:hAnsi="Sylfaen"/>
                <w:sz w:val="24"/>
                <w:szCs w:val="24"/>
              </w:rPr>
              <w:t>проведение работ по химической мелиорации в сел</w:t>
            </w:r>
            <w:r w:rsidR="00866B31">
              <w:rPr>
                <w:rStyle w:val="Bodytext295pt"/>
                <w:rFonts w:ascii="Sylfaen" w:hAnsi="Sylfaen"/>
                <w:sz w:val="24"/>
                <w:szCs w:val="24"/>
              </w:rPr>
              <w:t>ьскохозяйственных организациях;</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товарность;</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уровень продовольственной независимости</w:t>
            </w:r>
          </w:p>
        </w:tc>
      </w:tr>
    </w:tbl>
    <w:p w:rsidR="00A17F3E" w:rsidRPr="00AD0310" w:rsidRDefault="00A17F3E" w:rsidP="00AD0310">
      <w:pPr>
        <w:spacing w:after="120"/>
      </w:pPr>
    </w:p>
    <w:p w:rsidR="00A17F3E" w:rsidRDefault="00DD4FDA" w:rsidP="00866B31">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Дополнительные показатели выделены в отдельный тип в связи с тем, что некоторые коэффициенты могут одновременно относиться к нескольким типам показателей (например, доля импорта в ресурсах может одновременно относиться и к показателям производства, и к показателям внешней торговли).</w:t>
      </w:r>
    </w:p>
    <w:p w:rsidR="00866B31" w:rsidRDefault="00866B31" w:rsidP="00866B31">
      <w:pPr>
        <w:pStyle w:val="Bodytext20"/>
        <w:shd w:val="clear" w:color="auto" w:fill="auto"/>
        <w:spacing w:before="0" w:after="120" w:line="240" w:lineRule="auto"/>
        <w:ind w:firstLine="567"/>
        <w:rPr>
          <w:rFonts w:ascii="Sylfaen" w:hAnsi="Sylfaen"/>
          <w:sz w:val="24"/>
          <w:szCs w:val="24"/>
        </w:rPr>
      </w:pPr>
    </w:p>
    <w:p w:rsidR="00866B31" w:rsidRPr="00AD0310" w:rsidRDefault="00866B31" w:rsidP="00866B31">
      <w:pPr>
        <w:pStyle w:val="Bodytext20"/>
        <w:shd w:val="clear" w:color="auto" w:fill="auto"/>
        <w:spacing w:before="0" w:after="120" w:line="240" w:lineRule="auto"/>
        <w:ind w:firstLine="567"/>
        <w:rPr>
          <w:rFonts w:ascii="Sylfaen" w:hAnsi="Sylfaen"/>
          <w:sz w:val="24"/>
          <w:szCs w:val="24"/>
        </w:rPr>
        <w:sectPr w:rsidR="00866B31" w:rsidRPr="00AD0310" w:rsidSect="00AD0310">
          <w:headerReference w:type="first" r:id="rId10"/>
          <w:pgSz w:w="11900" w:h="16840"/>
          <w:pgMar w:top="1418" w:right="1418" w:bottom="1418" w:left="1418" w:header="0" w:footer="6" w:gutter="0"/>
          <w:cols w:space="720"/>
          <w:noEndnote/>
          <w:docGrid w:linePitch="360"/>
        </w:sectPr>
      </w:pPr>
    </w:p>
    <w:p w:rsidR="00A17F3E" w:rsidRPr="00AD0310" w:rsidRDefault="00DD4FDA" w:rsidP="00AD0310">
      <w:pPr>
        <w:pStyle w:val="Bodytext20"/>
        <w:shd w:val="clear" w:color="auto" w:fill="auto"/>
        <w:spacing w:before="0" w:after="120" w:line="240" w:lineRule="auto"/>
        <w:ind w:left="3360" w:firstLine="0"/>
        <w:jc w:val="right"/>
        <w:rPr>
          <w:rFonts w:ascii="Sylfaen" w:hAnsi="Sylfaen"/>
          <w:sz w:val="24"/>
          <w:szCs w:val="24"/>
        </w:rPr>
      </w:pPr>
      <w:r w:rsidRPr="00AD0310">
        <w:rPr>
          <w:rStyle w:val="Tablecaption3"/>
          <w:rFonts w:ascii="Sylfaen" w:hAnsi="Sylfaen"/>
          <w:sz w:val="24"/>
          <w:szCs w:val="24"/>
        </w:rPr>
        <w:lastRenderedPageBreak/>
        <w:t>Таблица 2</w:t>
      </w:r>
    </w:p>
    <w:p w:rsidR="00A17F3E" w:rsidRPr="00AD0310" w:rsidRDefault="00A17F3E" w:rsidP="00AD0310">
      <w:pPr>
        <w:spacing w:after="120"/>
      </w:pPr>
    </w:p>
    <w:p w:rsidR="00A17F3E" w:rsidRPr="00AD0310" w:rsidRDefault="00DD4FDA" w:rsidP="00AD0310">
      <w:pPr>
        <w:pStyle w:val="Bodytext20"/>
        <w:shd w:val="clear" w:color="auto" w:fill="auto"/>
        <w:spacing w:before="0" w:after="120" w:line="240" w:lineRule="auto"/>
        <w:ind w:left="3360" w:firstLine="0"/>
        <w:jc w:val="left"/>
        <w:rPr>
          <w:rFonts w:ascii="Sylfaen" w:hAnsi="Sylfaen"/>
          <w:sz w:val="24"/>
          <w:szCs w:val="24"/>
        </w:rPr>
      </w:pPr>
      <w:r w:rsidRPr="00AD0310">
        <w:rPr>
          <w:rFonts w:ascii="Sylfaen" w:hAnsi="Sylfaen"/>
          <w:sz w:val="24"/>
          <w:szCs w:val="24"/>
        </w:rPr>
        <w:t>Соотношение между статистическими показателями и целями (критериями)</w:t>
      </w:r>
    </w:p>
    <w:tbl>
      <w:tblPr>
        <w:tblOverlap w:val="never"/>
        <w:tblW w:w="15188" w:type="dxa"/>
        <w:jc w:val="center"/>
        <w:tblLayout w:type="fixed"/>
        <w:tblCellMar>
          <w:left w:w="10" w:type="dxa"/>
          <w:right w:w="10" w:type="dxa"/>
        </w:tblCellMar>
        <w:tblLook w:val="04A0" w:firstRow="1" w:lastRow="0" w:firstColumn="1" w:lastColumn="0" w:noHBand="0" w:noVBand="1"/>
      </w:tblPr>
      <w:tblGrid>
        <w:gridCol w:w="2552"/>
        <w:gridCol w:w="2851"/>
        <w:gridCol w:w="2556"/>
        <w:gridCol w:w="2693"/>
        <w:gridCol w:w="2412"/>
        <w:gridCol w:w="2124"/>
      </w:tblGrid>
      <w:tr w:rsidR="00A17F3E" w:rsidRPr="00AD0310" w:rsidTr="00015DF5">
        <w:trPr>
          <w:jc w:val="center"/>
        </w:trPr>
        <w:tc>
          <w:tcPr>
            <w:tcW w:w="2552" w:type="dxa"/>
            <w:vMerge w:val="restart"/>
            <w:tcBorders>
              <w:top w:val="single" w:sz="4" w:space="0" w:color="auto"/>
              <w:left w:val="single" w:sz="4" w:space="0" w:color="auto"/>
            </w:tcBorders>
            <w:shd w:val="clear" w:color="auto" w:fill="FFFFFF"/>
            <w:vAlign w:val="center"/>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Цель</w:t>
            </w:r>
          </w:p>
        </w:tc>
        <w:tc>
          <w:tcPr>
            <w:tcW w:w="12636" w:type="dxa"/>
            <w:gridSpan w:val="5"/>
            <w:tcBorders>
              <w:top w:val="single" w:sz="4" w:space="0" w:color="auto"/>
              <w:left w:val="single" w:sz="4" w:space="0" w:color="auto"/>
              <w:right w:val="single" w:sz="4" w:space="0" w:color="auto"/>
            </w:tcBorders>
            <w:shd w:val="clear" w:color="auto" w:fill="FFFFFF"/>
            <w:vAlign w:val="bottom"/>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Критерии</w:t>
            </w:r>
          </w:p>
        </w:tc>
      </w:tr>
      <w:tr w:rsidR="00A17F3E" w:rsidRPr="00AD0310" w:rsidTr="00015DF5">
        <w:trPr>
          <w:jc w:val="center"/>
        </w:trPr>
        <w:tc>
          <w:tcPr>
            <w:tcW w:w="2552" w:type="dxa"/>
            <w:vMerge/>
            <w:tcBorders>
              <w:left w:val="single" w:sz="4" w:space="0" w:color="auto"/>
            </w:tcBorders>
            <w:shd w:val="clear" w:color="auto" w:fill="FFFFFF"/>
            <w:vAlign w:val="center"/>
          </w:tcPr>
          <w:p w:rsidR="00A17F3E" w:rsidRPr="00AD0310" w:rsidRDefault="00A17F3E" w:rsidP="00AD0310">
            <w:pPr>
              <w:spacing w:after="120"/>
            </w:pPr>
          </w:p>
        </w:tc>
        <w:tc>
          <w:tcPr>
            <w:tcW w:w="2851" w:type="dxa"/>
            <w:tcBorders>
              <w:top w:val="single" w:sz="4" w:space="0" w:color="auto"/>
              <w:left w:val="single" w:sz="4" w:space="0" w:color="auto"/>
            </w:tcBorders>
            <w:shd w:val="clear" w:color="auto" w:fill="FFFFFF"/>
            <w:vAlign w:val="bottom"/>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результативность</w:t>
            </w:r>
          </w:p>
        </w:tc>
        <w:tc>
          <w:tcPr>
            <w:tcW w:w="2556" w:type="dxa"/>
            <w:tcBorders>
              <w:top w:val="single" w:sz="4" w:space="0" w:color="auto"/>
              <w:left w:val="single" w:sz="4" w:space="0" w:color="auto"/>
            </w:tcBorders>
            <w:shd w:val="clear" w:color="auto" w:fill="FFFFFF"/>
            <w:vAlign w:val="bottom"/>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оптимальность</w:t>
            </w:r>
          </w:p>
        </w:tc>
        <w:tc>
          <w:tcPr>
            <w:tcW w:w="2693" w:type="dxa"/>
            <w:tcBorders>
              <w:top w:val="single" w:sz="4" w:space="0" w:color="auto"/>
              <w:left w:val="single" w:sz="4" w:space="0" w:color="auto"/>
            </w:tcBorders>
            <w:shd w:val="clear" w:color="auto" w:fill="FFFFFF"/>
            <w:vAlign w:val="bottom"/>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влияние</w:t>
            </w:r>
          </w:p>
        </w:tc>
        <w:tc>
          <w:tcPr>
            <w:tcW w:w="2412" w:type="dxa"/>
            <w:tcBorders>
              <w:top w:val="single" w:sz="4" w:space="0" w:color="auto"/>
              <w:left w:val="single" w:sz="4" w:space="0" w:color="auto"/>
            </w:tcBorders>
            <w:shd w:val="clear" w:color="auto" w:fill="FFFFFF"/>
            <w:vAlign w:val="bottom"/>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устойчивость</w:t>
            </w:r>
          </w:p>
        </w:tc>
        <w:tc>
          <w:tcPr>
            <w:tcW w:w="2124" w:type="dxa"/>
            <w:tcBorders>
              <w:top w:val="single" w:sz="4" w:space="0" w:color="auto"/>
              <w:left w:val="single" w:sz="4" w:space="0" w:color="auto"/>
              <w:right w:val="single" w:sz="4" w:space="0" w:color="auto"/>
            </w:tcBorders>
            <w:shd w:val="clear" w:color="auto" w:fill="FFFFFF"/>
            <w:vAlign w:val="bottom"/>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затратность</w:t>
            </w:r>
          </w:p>
        </w:tc>
      </w:tr>
      <w:tr w:rsidR="00A17F3E" w:rsidRPr="00AD0310" w:rsidTr="00015DF5">
        <w:trPr>
          <w:jc w:val="center"/>
        </w:trPr>
        <w:tc>
          <w:tcPr>
            <w:tcW w:w="2552" w:type="dxa"/>
            <w:tcBorders>
              <w:top w:val="single" w:sz="4" w:space="0" w:color="auto"/>
              <w:left w:val="single" w:sz="4" w:space="0" w:color="auto"/>
            </w:tcBorders>
            <w:shd w:val="clear" w:color="auto" w:fill="FFFFFF"/>
            <w:vAlign w:val="bottom"/>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1</w:t>
            </w:r>
          </w:p>
        </w:tc>
        <w:tc>
          <w:tcPr>
            <w:tcW w:w="2851" w:type="dxa"/>
            <w:tcBorders>
              <w:top w:val="single" w:sz="4" w:space="0" w:color="auto"/>
              <w:left w:val="single" w:sz="4" w:space="0" w:color="auto"/>
            </w:tcBorders>
            <w:shd w:val="clear" w:color="auto" w:fill="FFFFFF"/>
            <w:vAlign w:val="bottom"/>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2</w:t>
            </w:r>
          </w:p>
        </w:tc>
        <w:tc>
          <w:tcPr>
            <w:tcW w:w="2556" w:type="dxa"/>
            <w:tcBorders>
              <w:top w:val="single" w:sz="4" w:space="0" w:color="auto"/>
              <w:left w:val="single" w:sz="4" w:space="0" w:color="auto"/>
            </w:tcBorders>
            <w:shd w:val="clear" w:color="auto" w:fill="FFFFFF"/>
            <w:vAlign w:val="center"/>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3</w:t>
            </w:r>
          </w:p>
        </w:tc>
        <w:tc>
          <w:tcPr>
            <w:tcW w:w="2693" w:type="dxa"/>
            <w:tcBorders>
              <w:top w:val="single" w:sz="4" w:space="0" w:color="auto"/>
              <w:left w:val="single" w:sz="4" w:space="0" w:color="auto"/>
            </w:tcBorders>
            <w:shd w:val="clear" w:color="auto" w:fill="FFFFFF"/>
            <w:vAlign w:val="center"/>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4</w:t>
            </w:r>
          </w:p>
        </w:tc>
        <w:tc>
          <w:tcPr>
            <w:tcW w:w="2412" w:type="dxa"/>
            <w:tcBorders>
              <w:top w:val="single" w:sz="4" w:space="0" w:color="auto"/>
              <w:left w:val="single" w:sz="4" w:space="0" w:color="auto"/>
            </w:tcBorders>
            <w:shd w:val="clear" w:color="auto" w:fill="FFFFFF"/>
            <w:vAlign w:val="center"/>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5</w:t>
            </w:r>
          </w:p>
        </w:tc>
        <w:tc>
          <w:tcPr>
            <w:tcW w:w="2124" w:type="dxa"/>
            <w:tcBorders>
              <w:top w:val="single" w:sz="4" w:space="0" w:color="auto"/>
              <w:left w:val="single" w:sz="4" w:space="0" w:color="auto"/>
              <w:right w:val="single" w:sz="4" w:space="0" w:color="auto"/>
            </w:tcBorders>
            <w:shd w:val="clear" w:color="auto" w:fill="FFFFFF"/>
            <w:vAlign w:val="bottom"/>
          </w:tcPr>
          <w:p w:rsidR="00A17F3E" w:rsidRPr="00AD0310" w:rsidRDefault="00DD4FDA" w:rsidP="00AD0310">
            <w:pPr>
              <w:pStyle w:val="Bodytext20"/>
              <w:shd w:val="clear" w:color="auto" w:fill="auto"/>
              <w:spacing w:before="0" w:after="120" w:line="240" w:lineRule="auto"/>
              <w:ind w:firstLine="0"/>
              <w:jc w:val="center"/>
              <w:rPr>
                <w:rFonts w:ascii="Sylfaen" w:hAnsi="Sylfaen"/>
                <w:sz w:val="24"/>
                <w:szCs w:val="24"/>
              </w:rPr>
            </w:pPr>
            <w:r w:rsidRPr="00AD0310">
              <w:rPr>
                <w:rStyle w:val="Bodytext295pt"/>
                <w:rFonts w:ascii="Sylfaen" w:hAnsi="Sylfaen"/>
                <w:sz w:val="24"/>
                <w:szCs w:val="24"/>
              </w:rPr>
              <w:t>6</w:t>
            </w:r>
          </w:p>
        </w:tc>
      </w:tr>
      <w:tr w:rsidR="00A17F3E" w:rsidRPr="00AD0310" w:rsidTr="00015DF5">
        <w:trPr>
          <w:jc w:val="center"/>
        </w:trPr>
        <w:tc>
          <w:tcPr>
            <w:tcW w:w="2552" w:type="dxa"/>
            <w:tcBorders>
              <w:top w:val="single" w:sz="4" w:space="0" w:color="auto"/>
            </w:tcBorders>
            <w:shd w:val="clear" w:color="auto" w:fill="FFFFFF"/>
          </w:tcPr>
          <w:p w:rsidR="00A17F3E" w:rsidRPr="00AD0310" w:rsidRDefault="00DD4FDA" w:rsidP="00AD0310">
            <w:pPr>
              <w:pStyle w:val="Bodytext20"/>
              <w:shd w:val="clear" w:color="auto" w:fill="auto"/>
              <w:spacing w:before="0" w:after="120" w:line="240" w:lineRule="auto"/>
              <w:ind w:left="440" w:hanging="280"/>
              <w:jc w:val="left"/>
              <w:rPr>
                <w:rFonts w:ascii="Sylfaen" w:hAnsi="Sylfaen"/>
                <w:sz w:val="24"/>
                <w:szCs w:val="24"/>
              </w:rPr>
            </w:pPr>
            <w:r w:rsidRPr="00AD0310">
              <w:rPr>
                <w:rStyle w:val="Bodytext295pt"/>
                <w:rFonts w:ascii="Sylfaen" w:hAnsi="Sylfaen"/>
                <w:sz w:val="24"/>
                <w:szCs w:val="24"/>
              </w:rPr>
              <w:t>1. Обеспечение</w:t>
            </w:r>
            <w:r w:rsidRPr="00AD0310">
              <w:rPr>
                <w:rStyle w:val="Bodytext295pt"/>
                <w:rFonts w:ascii="Sylfaen" w:hAnsi="Sylfaen"/>
                <w:sz w:val="24"/>
                <w:szCs w:val="24"/>
                <w:lang w:val="en-US" w:eastAsia="en-US" w:bidi="en-US"/>
              </w:rPr>
              <w:t xml:space="preserve"> </w:t>
            </w:r>
            <w:r w:rsidRPr="00AD0310">
              <w:rPr>
                <w:rStyle w:val="Bodytext295pt"/>
                <w:rFonts w:ascii="Sylfaen" w:hAnsi="Sylfaen"/>
                <w:sz w:val="24"/>
                <w:szCs w:val="24"/>
              </w:rPr>
              <w:t>продовольственной</w:t>
            </w:r>
            <w:r w:rsidRPr="00AD0310">
              <w:rPr>
                <w:rStyle w:val="Bodytext295pt"/>
                <w:rFonts w:ascii="Sylfaen" w:hAnsi="Sylfaen"/>
                <w:sz w:val="24"/>
                <w:szCs w:val="24"/>
                <w:lang w:val="en-US" w:eastAsia="en-US" w:bidi="en-US"/>
              </w:rPr>
              <w:t xml:space="preserve"> </w:t>
            </w:r>
            <w:r w:rsidRPr="00AD0310">
              <w:rPr>
                <w:rStyle w:val="Bodytext295pt"/>
                <w:rFonts w:ascii="Sylfaen" w:hAnsi="Sylfaen"/>
                <w:sz w:val="24"/>
                <w:szCs w:val="24"/>
              </w:rPr>
              <w:t>независимости</w:t>
            </w:r>
          </w:p>
        </w:tc>
        <w:tc>
          <w:tcPr>
            <w:tcW w:w="2851" w:type="dxa"/>
            <w:tcBorders>
              <w:top w:val="single" w:sz="4" w:space="0" w:color="auto"/>
            </w:tcBorders>
            <w:shd w:val="clear" w:color="auto" w:fill="FFFFFF"/>
          </w:tcPr>
          <w:p w:rsidR="00A17F3E" w:rsidRPr="00AD0310" w:rsidRDefault="00DD4FDA" w:rsidP="00E47CB4">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потребление основных продуктов питания; уровень</w:t>
            </w:r>
            <w:r w:rsidR="00E47CB4">
              <w:rPr>
                <w:rStyle w:val="Bodytext295pt"/>
                <w:rFonts w:ascii="Sylfaen" w:hAnsi="Sylfaen"/>
                <w:sz w:val="24"/>
                <w:szCs w:val="24"/>
              </w:rPr>
              <w:t xml:space="preserve"> </w:t>
            </w:r>
            <w:r w:rsidRPr="00AD0310">
              <w:rPr>
                <w:rStyle w:val="Bodytext295pt"/>
                <w:rFonts w:ascii="Sylfaen" w:hAnsi="Sylfaen"/>
                <w:sz w:val="24"/>
                <w:szCs w:val="24"/>
              </w:rPr>
              <w:t>продовольственной</w:t>
            </w:r>
            <w:r w:rsidR="00E47CB4">
              <w:rPr>
                <w:rStyle w:val="Bodytext295pt"/>
                <w:rFonts w:ascii="Sylfaen" w:hAnsi="Sylfaen"/>
                <w:sz w:val="24"/>
                <w:szCs w:val="24"/>
              </w:rPr>
              <w:t xml:space="preserve"> </w:t>
            </w:r>
            <w:r w:rsidRPr="00AD0310">
              <w:rPr>
                <w:rStyle w:val="Bodytext295pt"/>
                <w:rFonts w:ascii="Sylfaen" w:hAnsi="Sylfaen"/>
                <w:sz w:val="24"/>
                <w:szCs w:val="24"/>
              </w:rPr>
              <w:t>независимости</w:t>
            </w:r>
          </w:p>
        </w:tc>
        <w:tc>
          <w:tcPr>
            <w:tcW w:w="2556" w:type="dxa"/>
            <w:tcBorders>
              <w:top w:val="single" w:sz="4" w:space="0" w:color="auto"/>
            </w:tcBorders>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рентабельность (убыточность) проданных товаров, продукции,работ, услуг (разница); доля расходов на импортное сырье (разница)</w:t>
            </w:r>
          </w:p>
        </w:tc>
        <w:tc>
          <w:tcPr>
            <w:tcW w:w="2693" w:type="dxa"/>
            <w:tcBorders>
              <w:top w:val="single" w:sz="4" w:space="0" w:color="auto"/>
            </w:tcBorders>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индекс производства; индекс цен производителей; индекс физического объема импорта</w:t>
            </w:r>
          </w:p>
        </w:tc>
        <w:tc>
          <w:tcPr>
            <w:tcW w:w="2412" w:type="dxa"/>
            <w:tcBorders>
              <w:top w:val="single" w:sz="4" w:space="0" w:color="auto"/>
            </w:tcBorders>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отношение задолженности к активам;</w:t>
            </w:r>
          </w:p>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доля расходов на импортное сырье (разница)</w:t>
            </w:r>
          </w:p>
        </w:tc>
        <w:tc>
          <w:tcPr>
            <w:tcW w:w="2124" w:type="dxa"/>
            <w:tcBorders>
              <w:top w:val="single" w:sz="4" w:space="0" w:color="auto"/>
            </w:tcBorders>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отношение поддержки к производству</w:t>
            </w:r>
          </w:p>
        </w:tc>
      </w:tr>
      <w:tr w:rsidR="00A17F3E" w:rsidRPr="00AD0310" w:rsidTr="00015DF5">
        <w:trPr>
          <w:jc w:val="center"/>
        </w:trPr>
        <w:tc>
          <w:tcPr>
            <w:tcW w:w="2552" w:type="dxa"/>
            <w:shd w:val="clear" w:color="auto" w:fill="FFFFFF"/>
          </w:tcPr>
          <w:p w:rsidR="00A17F3E" w:rsidRPr="00AD0310" w:rsidRDefault="00DD4FDA" w:rsidP="00AD0310">
            <w:pPr>
              <w:pStyle w:val="Bodytext20"/>
              <w:shd w:val="clear" w:color="auto" w:fill="auto"/>
              <w:spacing w:before="0" w:after="120" w:line="240" w:lineRule="auto"/>
              <w:ind w:left="440" w:hanging="280"/>
              <w:jc w:val="left"/>
              <w:rPr>
                <w:rFonts w:ascii="Sylfaen" w:hAnsi="Sylfaen"/>
                <w:sz w:val="24"/>
                <w:szCs w:val="24"/>
              </w:rPr>
            </w:pPr>
            <w:r w:rsidRPr="00AD0310">
              <w:rPr>
                <w:rStyle w:val="Bodytext295pt"/>
                <w:rFonts w:ascii="Sylfaen" w:hAnsi="Sylfaen"/>
                <w:sz w:val="24"/>
                <w:szCs w:val="24"/>
              </w:rPr>
              <w:t>2. Повышение финансовой устойчивости</w:t>
            </w:r>
          </w:p>
        </w:tc>
        <w:tc>
          <w:tcPr>
            <w:tcW w:w="2851" w:type="dxa"/>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рентабельность (убыточность) проданных товаров, продукции, работ, услуг (разница); отношение</w:t>
            </w:r>
            <w:r w:rsidRPr="00AD0310">
              <w:rPr>
                <w:rStyle w:val="Bodytext295pt"/>
                <w:rFonts w:ascii="Sylfaen" w:hAnsi="Sylfaen"/>
                <w:sz w:val="24"/>
                <w:szCs w:val="24"/>
                <w:lang w:eastAsia="en-US" w:bidi="en-US"/>
              </w:rPr>
              <w:t xml:space="preserve"> </w:t>
            </w:r>
            <w:r w:rsidRPr="00AD0310">
              <w:rPr>
                <w:rStyle w:val="Bodytext295pt"/>
                <w:rFonts w:ascii="Sylfaen" w:hAnsi="Sylfaen"/>
                <w:sz w:val="24"/>
                <w:szCs w:val="24"/>
              </w:rPr>
              <w:t>задолженности к активам</w:t>
            </w:r>
          </w:p>
        </w:tc>
        <w:tc>
          <w:tcPr>
            <w:tcW w:w="2556" w:type="dxa"/>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коэффициент текущей ликвидности</w:t>
            </w:r>
          </w:p>
        </w:tc>
        <w:tc>
          <w:tcPr>
            <w:tcW w:w="2693" w:type="dxa"/>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индекс цен производителей; индекс цен на промышленные товары для</w:t>
            </w:r>
            <w:r w:rsidRPr="00AD0310">
              <w:rPr>
                <w:rStyle w:val="Bodytext295pt"/>
                <w:rFonts w:ascii="Sylfaen" w:hAnsi="Sylfaen"/>
                <w:sz w:val="24"/>
                <w:szCs w:val="24"/>
                <w:lang w:eastAsia="en-US" w:bidi="en-US"/>
              </w:rPr>
              <w:t xml:space="preserve"> </w:t>
            </w:r>
            <w:r w:rsidRPr="00AD0310">
              <w:rPr>
                <w:rStyle w:val="Bodytext295pt"/>
                <w:rFonts w:ascii="Sylfaen" w:hAnsi="Sylfaen"/>
                <w:sz w:val="24"/>
                <w:szCs w:val="24"/>
              </w:rPr>
              <w:t>сельскохозяйственных</w:t>
            </w:r>
            <w:r w:rsidRPr="00AD0310">
              <w:rPr>
                <w:rStyle w:val="Bodytext295pt"/>
                <w:rFonts w:ascii="Sylfaen" w:hAnsi="Sylfaen"/>
                <w:sz w:val="24"/>
                <w:szCs w:val="24"/>
                <w:lang w:eastAsia="en-US" w:bidi="en-US"/>
              </w:rPr>
              <w:t xml:space="preserve"> </w:t>
            </w:r>
            <w:r w:rsidRPr="00AD0310">
              <w:rPr>
                <w:rStyle w:val="Bodytext295pt"/>
                <w:rFonts w:ascii="Sylfaen" w:hAnsi="Sylfaen"/>
                <w:sz w:val="24"/>
                <w:szCs w:val="24"/>
              </w:rPr>
              <w:t>организаций</w:t>
            </w:r>
          </w:p>
        </w:tc>
        <w:tc>
          <w:tcPr>
            <w:tcW w:w="2412" w:type="dxa"/>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рентабельность активов (разница); доля расходов на НИОКР в прибыли</w:t>
            </w:r>
          </w:p>
        </w:tc>
        <w:tc>
          <w:tcPr>
            <w:tcW w:w="2124" w:type="dxa"/>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отношение поддержки к производству</w:t>
            </w:r>
          </w:p>
        </w:tc>
      </w:tr>
      <w:tr w:rsidR="00A17F3E" w:rsidRPr="00AD0310" w:rsidTr="00015DF5">
        <w:trPr>
          <w:jc w:val="center"/>
        </w:trPr>
        <w:tc>
          <w:tcPr>
            <w:tcW w:w="2552" w:type="dxa"/>
            <w:shd w:val="clear" w:color="auto" w:fill="FFFFFF"/>
          </w:tcPr>
          <w:p w:rsidR="00A17F3E" w:rsidRPr="00AD0310" w:rsidRDefault="00DD4FDA" w:rsidP="00AD0310">
            <w:pPr>
              <w:pStyle w:val="Bodytext20"/>
              <w:shd w:val="clear" w:color="auto" w:fill="auto"/>
              <w:spacing w:before="0" w:after="120" w:line="240" w:lineRule="auto"/>
              <w:ind w:left="440" w:hanging="280"/>
              <w:jc w:val="left"/>
              <w:rPr>
                <w:rFonts w:ascii="Sylfaen" w:hAnsi="Sylfaen"/>
                <w:sz w:val="24"/>
                <w:szCs w:val="24"/>
              </w:rPr>
            </w:pPr>
            <w:r w:rsidRPr="00AD0310">
              <w:rPr>
                <w:rStyle w:val="Bodytext295pt"/>
                <w:rFonts w:ascii="Sylfaen" w:hAnsi="Sylfaen"/>
                <w:sz w:val="24"/>
                <w:szCs w:val="24"/>
              </w:rPr>
              <w:t>3. Устойчивое</w:t>
            </w:r>
            <w:r w:rsidRPr="00AD0310">
              <w:rPr>
                <w:rStyle w:val="Bodytext295pt"/>
                <w:rFonts w:ascii="Sylfaen" w:hAnsi="Sylfaen"/>
                <w:sz w:val="24"/>
                <w:szCs w:val="24"/>
                <w:lang w:val="en-US" w:eastAsia="en-US" w:bidi="en-US"/>
              </w:rPr>
              <w:t xml:space="preserve"> </w:t>
            </w:r>
            <w:r w:rsidRPr="00AD0310">
              <w:rPr>
                <w:rStyle w:val="Bodytext295pt"/>
                <w:rFonts w:ascii="Sylfaen" w:hAnsi="Sylfaen"/>
                <w:sz w:val="24"/>
                <w:szCs w:val="24"/>
              </w:rPr>
              <w:t>развитие сельских территорий</w:t>
            </w:r>
          </w:p>
        </w:tc>
        <w:tc>
          <w:tcPr>
            <w:tcW w:w="2851" w:type="dxa"/>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среднегодовая численность занятых в сельском хозяйстве; индекс посевных площадей и поголовья скота</w:t>
            </w:r>
          </w:p>
        </w:tc>
        <w:tc>
          <w:tcPr>
            <w:tcW w:w="2556" w:type="dxa"/>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индекс производства</w:t>
            </w:r>
          </w:p>
        </w:tc>
        <w:tc>
          <w:tcPr>
            <w:tcW w:w="2693" w:type="dxa"/>
            <w:shd w:val="clear" w:color="auto" w:fill="FFFFFF"/>
            <w:vAlign w:val="bottom"/>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 xml:space="preserve">среднемесячная реальная заработная плата, начисленная 1 работнику; индекс цен производителей; индекс цен на промышленные </w:t>
            </w:r>
            <w:r w:rsidRPr="00AD0310">
              <w:rPr>
                <w:rStyle w:val="Bodytext295pt"/>
                <w:rFonts w:ascii="Sylfaen" w:hAnsi="Sylfaen"/>
                <w:sz w:val="24"/>
                <w:szCs w:val="24"/>
              </w:rPr>
              <w:lastRenderedPageBreak/>
              <w:t>товары для</w:t>
            </w:r>
            <w:r w:rsidR="00015DF5">
              <w:rPr>
                <w:rStyle w:val="Bodytext295pt"/>
                <w:rFonts w:ascii="Sylfaen" w:hAnsi="Sylfaen"/>
                <w:sz w:val="24"/>
                <w:szCs w:val="24"/>
              </w:rPr>
              <w:t xml:space="preserve"> </w:t>
            </w:r>
            <w:r w:rsidR="00015DF5" w:rsidRPr="00AD0310">
              <w:rPr>
                <w:rStyle w:val="Bodytext295pt"/>
                <w:rFonts w:ascii="Sylfaen" w:hAnsi="Sylfaen"/>
                <w:sz w:val="24"/>
                <w:szCs w:val="24"/>
              </w:rPr>
              <w:t>сельскохозяйственных</w:t>
            </w:r>
            <w:r w:rsidR="00015DF5">
              <w:rPr>
                <w:rStyle w:val="Bodytext295pt"/>
                <w:rFonts w:ascii="Sylfaen" w:hAnsi="Sylfaen"/>
                <w:sz w:val="24"/>
                <w:szCs w:val="24"/>
              </w:rPr>
              <w:t xml:space="preserve"> </w:t>
            </w:r>
            <w:r w:rsidR="00015DF5" w:rsidRPr="00AD0310">
              <w:rPr>
                <w:rStyle w:val="Bodytext295pt"/>
                <w:rFonts w:ascii="Sylfaen" w:hAnsi="Sylfaen"/>
                <w:sz w:val="24"/>
                <w:szCs w:val="24"/>
              </w:rPr>
              <w:t>организаций</w:t>
            </w:r>
          </w:p>
        </w:tc>
        <w:tc>
          <w:tcPr>
            <w:tcW w:w="2412" w:type="dxa"/>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lastRenderedPageBreak/>
              <w:t>изменение объема активов</w:t>
            </w:r>
          </w:p>
        </w:tc>
        <w:tc>
          <w:tcPr>
            <w:tcW w:w="2124" w:type="dxa"/>
            <w:shd w:val="clear" w:color="auto" w:fill="FFFFFF"/>
          </w:tcPr>
          <w:p w:rsidR="00A17F3E" w:rsidRPr="00AD0310" w:rsidRDefault="00DD4FDA" w:rsidP="00AD0310">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отношение поддержки к производству</w:t>
            </w:r>
          </w:p>
        </w:tc>
      </w:tr>
      <w:tr w:rsidR="00015DF5" w:rsidRPr="00AD0310" w:rsidTr="00015DF5">
        <w:trPr>
          <w:jc w:val="center"/>
        </w:trPr>
        <w:tc>
          <w:tcPr>
            <w:tcW w:w="2552" w:type="dxa"/>
            <w:shd w:val="clear" w:color="auto" w:fill="FFFFFF"/>
          </w:tcPr>
          <w:p w:rsidR="00015DF5" w:rsidRPr="00AD0310" w:rsidRDefault="00015DF5" w:rsidP="00B84618">
            <w:pPr>
              <w:pStyle w:val="Bodytext20"/>
              <w:shd w:val="clear" w:color="auto" w:fill="auto"/>
              <w:spacing w:before="0" w:after="120" w:line="240" w:lineRule="auto"/>
              <w:ind w:left="440" w:hanging="300"/>
              <w:jc w:val="left"/>
              <w:rPr>
                <w:rFonts w:ascii="Sylfaen" w:hAnsi="Sylfaen"/>
                <w:sz w:val="24"/>
                <w:szCs w:val="24"/>
              </w:rPr>
            </w:pPr>
            <w:r w:rsidRPr="00AD0310">
              <w:rPr>
                <w:rStyle w:val="Bodytext295pt"/>
                <w:rFonts w:ascii="Sylfaen" w:hAnsi="Sylfaen"/>
                <w:sz w:val="24"/>
                <w:szCs w:val="24"/>
              </w:rPr>
              <w:lastRenderedPageBreak/>
              <w:t>4. Воспроизводство и повышение эффективности использования ресурсов</w:t>
            </w:r>
          </w:p>
        </w:tc>
        <w:tc>
          <w:tcPr>
            <w:tcW w:w="2851"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динамика физических объемов экспорта; индекс посевных площадей и поголовья скота</w:t>
            </w:r>
          </w:p>
        </w:tc>
        <w:tc>
          <w:tcPr>
            <w:tcW w:w="2556"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рентабельность активов (разница)</w:t>
            </w:r>
          </w:p>
        </w:tc>
        <w:tc>
          <w:tcPr>
            <w:tcW w:w="2693" w:type="dxa"/>
            <w:shd w:val="clear" w:color="auto" w:fill="FFFFFF"/>
            <w:vAlign w:val="bottom"/>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среднемесячная реальная заработная плата, начисленная 1 работнику; индекс цен на промышленные товары</w:t>
            </w:r>
            <w:r w:rsidRPr="00AD0310">
              <w:rPr>
                <w:rStyle w:val="Bodytext295pt"/>
                <w:rFonts w:ascii="Sylfaen" w:hAnsi="Sylfaen"/>
                <w:sz w:val="24"/>
                <w:szCs w:val="24"/>
                <w:lang w:eastAsia="en-US" w:bidi="en-US"/>
              </w:rPr>
              <w:t xml:space="preserve"> </w:t>
            </w:r>
            <w:r w:rsidRPr="00AD0310">
              <w:rPr>
                <w:rStyle w:val="Bodytext2Sylfaen0"/>
                <w:sz w:val="24"/>
                <w:szCs w:val="24"/>
              </w:rPr>
              <w:t>ДЛЯ</w:t>
            </w:r>
            <w:r w:rsidRPr="00AD0310">
              <w:rPr>
                <w:rStyle w:val="Bodytext2Sylfaen0"/>
                <w:sz w:val="24"/>
                <w:szCs w:val="24"/>
                <w:lang w:eastAsia="en-US" w:bidi="en-US"/>
              </w:rPr>
              <w:t xml:space="preserve"> </w:t>
            </w:r>
            <w:r w:rsidRPr="00AD0310">
              <w:rPr>
                <w:rStyle w:val="Bodytext295pt"/>
                <w:rFonts w:ascii="Sylfaen" w:hAnsi="Sylfaen"/>
                <w:sz w:val="24"/>
                <w:szCs w:val="24"/>
              </w:rPr>
              <w:t>сельскохозяйственных</w:t>
            </w:r>
            <w:r w:rsidRPr="00AD0310">
              <w:rPr>
                <w:rStyle w:val="Bodytext295pt"/>
                <w:rFonts w:ascii="Sylfaen" w:hAnsi="Sylfaen"/>
                <w:sz w:val="24"/>
                <w:szCs w:val="24"/>
                <w:lang w:eastAsia="en-US" w:bidi="en-US"/>
              </w:rPr>
              <w:t xml:space="preserve"> </w:t>
            </w:r>
            <w:r w:rsidRPr="00AD0310">
              <w:rPr>
                <w:rStyle w:val="Bodytext295pt"/>
                <w:rFonts w:ascii="Sylfaen" w:hAnsi="Sylfaen"/>
                <w:sz w:val="24"/>
                <w:szCs w:val="24"/>
              </w:rPr>
              <w:t>организаций</w:t>
            </w:r>
          </w:p>
        </w:tc>
        <w:tc>
          <w:tcPr>
            <w:tcW w:w="2412"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индекс</w:t>
            </w:r>
            <w:r w:rsidRPr="00AD0310">
              <w:rPr>
                <w:rStyle w:val="Bodytext295pt"/>
                <w:rFonts w:ascii="Sylfaen" w:hAnsi="Sylfaen"/>
                <w:sz w:val="24"/>
                <w:szCs w:val="24"/>
                <w:lang w:eastAsia="en-US" w:bidi="en-US"/>
              </w:rPr>
              <w:t xml:space="preserve"> </w:t>
            </w:r>
            <w:r w:rsidRPr="00AD0310">
              <w:rPr>
                <w:rStyle w:val="Bodytext295pt"/>
                <w:rFonts w:ascii="Sylfaen" w:hAnsi="Sylfaen"/>
                <w:sz w:val="24"/>
                <w:szCs w:val="24"/>
              </w:rPr>
              <w:t>производства;</w:t>
            </w:r>
          </w:p>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индекс</w:t>
            </w:r>
            <w:r w:rsidRPr="00AD0310">
              <w:rPr>
                <w:rStyle w:val="Bodytext295pt"/>
                <w:rFonts w:ascii="Sylfaen" w:hAnsi="Sylfaen"/>
                <w:sz w:val="24"/>
                <w:szCs w:val="24"/>
                <w:lang w:eastAsia="en-US" w:bidi="en-US"/>
              </w:rPr>
              <w:t xml:space="preserve"> </w:t>
            </w:r>
            <w:r w:rsidRPr="00AD0310">
              <w:rPr>
                <w:rStyle w:val="Bodytext295pt"/>
                <w:rFonts w:ascii="Sylfaen" w:hAnsi="Sylfaen"/>
                <w:sz w:val="24"/>
                <w:szCs w:val="24"/>
              </w:rPr>
              <w:t>производственного</w:t>
            </w:r>
            <w:r w:rsidRPr="00AD0310">
              <w:rPr>
                <w:rStyle w:val="Bodytext295pt"/>
                <w:rFonts w:ascii="Sylfaen" w:hAnsi="Sylfaen"/>
                <w:sz w:val="24"/>
                <w:szCs w:val="24"/>
                <w:lang w:eastAsia="en-US" w:bidi="en-US"/>
              </w:rPr>
              <w:t xml:space="preserve"> </w:t>
            </w:r>
            <w:r w:rsidRPr="00AD0310">
              <w:rPr>
                <w:rStyle w:val="Bodytext295pt"/>
                <w:rFonts w:ascii="Sylfaen" w:hAnsi="Sylfaen"/>
                <w:sz w:val="24"/>
                <w:szCs w:val="24"/>
              </w:rPr>
              <w:t>потребления</w:t>
            </w:r>
          </w:p>
        </w:tc>
        <w:tc>
          <w:tcPr>
            <w:tcW w:w="2124"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отношение задолженности к активам</w:t>
            </w:r>
          </w:p>
        </w:tc>
      </w:tr>
      <w:tr w:rsidR="00015DF5" w:rsidRPr="00AD0310" w:rsidTr="00015DF5">
        <w:trPr>
          <w:jc w:val="center"/>
        </w:trPr>
        <w:tc>
          <w:tcPr>
            <w:tcW w:w="2552" w:type="dxa"/>
            <w:shd w:val="clear" w:color="auto" w:fill="FFFFFF"/>
          </w:tcPr>
          <w:p w:rsidR="00015DF5" w:rsidRPr="00AD0310" w:rsidRDefault="00015DF5" w:rsidP="00B84618">
            <w:pPr>
              <w:pStyle w:val="Bodytext20"/>
              <w:shd w:val="clear" w:color="auto" w:fill="auto"/>
              <w:spacing w:before="0" w:after="120" w:line="240" w:lineRule="auto"/>
              <w:ind w:left="440" w:hanging="300"/>
              <w:jc w:val="left"/>
              <w:rPr>
                <w:rFonts w:ascii="Sylfaen" w:hAnsi="Sylfaen"/>
                <w:sz w:val="24"/>
                <w:szCs w:val="24"/>
              </w:rPr>
            </w:pPr>
            <w:r w:rsidRPr="00AD0310">
              <w:rPr>
                <w:rStyle w:val="Bodytext295pt"/>
                <w:rFonts w:ascii="Sylfaen" w:hAnsi="Sylfaen"/>
                <w:sz w:val="24"/>
                <w:szCs w:val="24"/>
              </w:rPr>
              <w:t>5. Обеспечение сбыта сельскохозяйствен</w:t>
            </w:r>
            <w:r w:rsidRPr="00AD0310">
              <w:rPr>
                <w:rStyle w:val="Bodytext295pt"/>
                <w:rFonts w:ascii="Sylfaen" w:hAnsi="Sylfaen"/>
                <w:sz w:val="24"/>
                <w:szCs w:val="24"/>
              </w:rPr>
              <w:softHyphen/>
              <w:t>ной продукции, повышение ее товарности</w:t>
            </w:r>
          </w:p>
        </w:tc>
        <w:tc>
          <w:tcPr>
            <w:tcW w:w="2851"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динамика физических объемов экспорта; доля импорта в ресурсах (разница);</w:t>
            </w:r>
          </w:p>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товарность(разница)</w:t>
            </w:r>
          </w:p>
        </w:tc>
        <w:tc>
          <w:tcPr>
            <w:tcW w:w="2556"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изменение объемов запасов</w:t>
            </w:r>
          </w:p>
        </w:tc>
        <w:tc>
          <w:tcPr>
            <w:tcW w:w="2693" w:type="dxa"/>
            <w:shd w:val="clear" w:color="auto" w:fill="FFFFFF"/>
            <w:vAlign w:val="bottom"/>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ввозные пошлины (разница); вывозные пошлины (разница); количество дополнительных нетарифных мер; индекс цен производителей</w:t>
            </w:r>
          </w:p>
        </w:tc>
        <w:tc>
          <w:tcPr>
            <w:tcW w:w="2412"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рентабельность (убыточность) проданных товаров, продукции, работ, услуг (разница)</w:t>
            </w:r>
          </w:p>
        </w:tc>
        <w:tc>
          <w:tcPr>
            <w:tcW w:w="2124"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динамика отношения цен производителей к потребительским ценам</w:t>
            </w:r>
          </w:p>
        </w:tc>
      </w:tr>
      <w:tr w:rsidR="00015DF5" w:rsidRPr="00AD0310" w:rsidTr="00015DF5">
        <w:trPr>
          <w:jc w:val="center"/>
        </w:trPr>
        <w:tc>
          <w:tcPr>
            <w:tcW w:w="2552" w:type="dxa"/>
            <w:shd w:val="clear" w:color="auto" w:fill="FFFFFF"/>
          </w:tcPr>
          <w:p w:rsidR="00015DF5" w:rsidRPr="00AD0310" w:rsidRDefault="00015DF5" w:rsidP="00B84618">
            <w:pPr>
              <w:pStyle w:val="Bodytext20"/>
              <w:shd w:val="clear" w:color="auto" w:fill="auto"/>
              <w:spacing w:before="0" w:after="120" w:line="240" w:lineRule="auto"/>
              <w:ind w:left="440" w:hanging="300"/>
              <w:jc w:val="left"/>
              <w:rPr>
                <w:rFonts w:ascii="Sylfaen" w:hAnsi="Sylfaen"/>
                <w:sz w:val="24"/>
                <w:szCs w:val="24"/>
              </w:rPr>
            </w:pPr>
            <w:r w:rsidRPr="00AD0310">
              <w:rPr>
                <w:rStyle w:val="Bodytext295pt"/>
                <w:rFonts w:ascii="Sylfaen" w:hAnsi="Sylfaen"/>
                <w:sz w:val="24"/>
                <w:szCs w:val="24"/>
              </w:rPr>
              <w:t>6. Поддержка развития инфраструктуры агропродовольст- венного рынка</w:t>
            </w:r>
          </w:p>
        </w:tc>
        <w:tc>
          <w:tcPr>
            <w:tcW w:w="2851"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проведение работ по химической мелиорации в сельскохозяйственных организациях; площади хранилищ (статистические данные для данного показателя в открытом доступе отсутствуют)</w:t>
            </w:r>
          </w:p>
        </w:tc>
        <w:tc>
          <w:tcPr>
            <w:tcW w:w="2556"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динамика потерь</w:t>
            </w:r>
          </w:p>
        </w:tc>
        <w:tc>
          <w:tcPr>
            <w:tcW w:w="2693"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доля расходов на НИОКР в прибыли</w:t>
            </w:r>
          </w:p>
        </w:tc>
        <w:tc>
          <w:tcPr>
            <w:tcW w:w="2412"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рентабельность (убыточность) проданных товаров, продукции, работ, услуг (разница)</w:t>
            </w:r>
          </w:p>
        </w:tc>
        <w:tc>
          <w:tcPr>
            <w:tcW w:w="2124" w:type="dxa"/>
            <w:shd w:val="clear" w:color="auto" w:fill="FFFFFF"/>
          </w:tcPr>
          <w:p w:rsidR="00015DF5" w:rsidRPr="00AD0310" w:rsidRDefault="00015DF5" w:rsidP="00B84618">
            <w:pPr>
              <w:pStyle w:val="Bodytext20"/>
              <w:shd w:val="clear" w:color="auto" w:fill="auto"/>
              <w:spacing w:before="0" w:after="120" w:line="240" w:lineRule="auto"/>
              <w:ind w:firstLine="0"/>
              <w:jc w:val="left"/>
              <w:rPr>
                <w:rFonts w:ascii="Sylfaen" w:hAnsi="Sylfaen"/>
                <w:sz w:val="24"/>
                <w:szCs w:val="24"/>
              </w:rPr>
            </w:pPr>
            <w:r w:rsidRPr="00AD0310">
              <w:rPr>
                <w:rStyle w:val="Bodytext295pt"/>
                <w:rFonts w:ascii="Sylfaen" w:hAnsi="Sylfaen"/>
                <w:sz w:val="24"/>
                <w:szCs w:val="24"/>
              </w:rPr>
              <w:t>индекс отношения объемов поддержки к потреблению</w:t>
            </w:r>
          </w:p>
        </w:tc>
      </w:tr>
    </w:tbl>
    <w:p w:rsidR="00A17F3E" w:rsidRPr="00AD0310" w:rsidRDefault="00A17F3E" w:rsidP="00AD0310">
      <w:pPr>
        <w:spacing w:after="120"/>
        <w:sectPr w:rsidR="00A17F3E" w:rsidRPr="00AD0310" w:rsidSect="00AD0310">
          <w:headerReference w:type="default" r:id="rId11"/>
          <w:headerReference w:type="first" r:id="rId12"/>
          <w:pgSz w:w="16840" w:h="11900" w:orient="landscape"/>
          <w:pgMar w:top="1418" w:right="1418" w:bottom="1418" w:left="1418" w:header="0" w:footer="6" w:gutter="0"/>
          <w:cols w:space="720"/>
          <w:noEndnote/>
          <w:docGrid w:linePitch="360"/>
        </w:sectPr>
      </w:pPr>
    </w:p>
    <w:p w:rsidR="00A17F3E" w:rsidRPr="00AD0310" w:rsidRDefault="00DD4FDA" w:rsidP="00AD0310">
      <w:pPr>
        <w:pStyle w:val="Bodytext20"/>
        <w:shd w:val="clear" w:color="auto" w:fill="auto"/>
        <w:spacing w:before="0" w:after="120" w:line="240" w:lineRule="auto"/>
        <w:ind w:left="20" w:firstLine="0"/>
        <w:jc w:val="center"/>
        <w:rPr>
          <w:rFonts w:ascii="Sylfaen" w:hAnsi="Sylfaen"/>
          <w:sz w:val="24"/>
          <w:szCs w:val="24"/>
        </w:rPr>
      </w:pPr>
      <w:r w:rsidRPr="00AD0310">
        <w:rPr>
          <w:rFonts w:ascii="Sylfaen" w:hAnsi="Sylfaen"/>
          <w:sz w:val="24"/>
          <w:szCs w:val="24"/>
          <w:lang w:val="en-US" w:eastAsia="en-US" w:bidi="en-US"/>
        </w:rPr>
        <w:lastRenderedPageBreak/>
        <w:t>IV</w:t>
      </w:r>
      <w:r w:rsidRPr="00AD0310">
        <w:rPr>
          <w:rFonts w:ascii="Sylfaen" w:hAnsi="Sylfaen"/>
          <w:sz w:val="24"/>
          <w:szCs w:val="24"/>
          <w:lang w:eastAsia="en-US" w:bidi="en-US"/>
        </w:rPr>
        <w:t xml:space="preserve">. </w:t>
      </w:r>
      <w:r w:rsidRPr="00AD0310">
        <w:rPr>
          <w:rFonts w:ascii="Sylfaen" w:hAnsi="Sylfaen"/>
          <w:sz w:val="24"/>
          <w:szCs w:val="24"/>
        </w:rPr>
        <w:t>Методика анализа эффективности мер государственного</w:t>
      </w:r>
      <w:r w:rsidRPr="00AD0310">
        <w:rPr>
          <w:rFonts w:ascii="Sylfaen" w:hAnsi="Sylfaen"/>
          <w:sz w:val="24"/>
          <w:szCs w:val="24"/>
          <w:lang w:eastAsia="en-US" w:bidi="en-US"/>
        </w:rPr>
        <w:t xml:space="preserve"> </w:t>
      </w:r>
      <w:r w:rsidRPr="00AD0310">
        <w:rPr>
          <w:rFonts w:ascii="Sylfaen" w:hAnsi="Sylfaen"/>
          <w:sz w:val="24"/>
          <w:szCs w:val="24"/>
        </w:rPr>
        <w:t>регулирования агропродовольственного рынка и поддержки</w:t>
      </w:r>
      <w:r w:rsidR="00AD0310">
        <w:rPr>
          <w:rFonts w:ascii="Sylfaen" w:hAnsi="Sylfaen"/>
          <w:sz w:val="24"/>
          <w:szCs w:val="24"/>
        </w:rPr>
        <w:t xml:space="preserve"> </w:t>
      </w:r>
      <w:r w:rsidRPr="00AD0310">
        <w:rPr>
          <w:rFonts w:ascii="Sylfaen" w:hAnsi="Sylfaen"/>
          <w:sz w:val="24"/>
          <w:szCs w:val="24"/>
        </w:rPr>
        <w:t>агропромышленного комплекса</w:t>
      </w:r>
    </w:p>
    <w:p w:rsidR="00A54C77" w:rsidRDefault="00A54C77" w:rsidP="00A54C77">
      <w:pPr>
        <w:pStyle w:val="Bodytext20"/>
        <w:shd w:val="clear" w:color="auto" w:fill="auto"/>
        <w:spacing w:before="0" w:after="120" w:line="240" w:lineRule="auto"/>
        <w:ind w:firstLine="0"/>
        <w:rPr>
          <w:rFonts w:ascii="Sylfaen" w:hAnsi="Sylfaen"/>
          <w:sz w:val="24"/>
          <w:szCs w:val="24"/>
        </w:rPr>
      </w:pPr>
    </w:p>
    <w:p w:rsidR="00A17F3E" w:rsidRPr="00AD0310" w:rsidRDefault="00AD0310" w:rsidP="00A54C77">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20.</w:t>
      </w:r>
      <w:r>
        <w:rPr>
          <w:rFonts w:ascii="Sylfaen" w:hAnsi="Sylfaen"/>
          <w:sz w:val="24"/>
          <w:szCs w:val="24"/>
        </w:rPr>
        <w:t xml:space="preserve"> </w:t>
      </w:r>
      <w:r w:rsidR="00DD4FDA" w:rsidRPr="00AD0310">
        <w:rPr>
          <w:rFonts w:ascii="Sylfaen" w:hAnsi="Sylfaen"/>
          <w:sz w:val="24"/>
          <w:szCs w:val="24"/>
        </w:rPr>
        <w:t>В качестве статистических данных для проведения расчетов и обработки данных в целях анализа эффективности мер государственного регулирования агропродовольственного рынка и поддержки агропромышленного комплекса используются данные ежегодных статистических программ государств-членов.</w:t>
      </w:r>
    </w:p>
    <w:p w:rsidR="00A17F3E" w:rsidRPr="00AD0310" w:rsidRDefault="00DD4FDA" w:rsidP="00A54C77">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При необходимости могут использоваться статистические данные международных организаций.</w:t>
      </w:r>
    </w:p>
    <w:p w:rsidR="00A17F3E" w:rsidRPr="00AD0310" w:rsidRDefault="00AD0310" w:rsidP="00A54C77">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21.</w:t>
      </w:r>
      <w:r>
        <w:rPr>
          <w:rFonts w:ascii="Sylfaen" w:hAnsi="Sylfaen"/>
          <w:sz w:val="24"/>
          <w:szCs w:val="24"/>
        </w:rPr>
        <w:t xml:space="preserve"> </w:t>
      </w:r>
      <w:r w:rsidR="00DD4FDA" w:rsidRPr="00AD0310">
        <w:rPr>
          <w:rFonts w:ascii="Sylfaen" w:hAnsi="Sylfaen"/>
          <w:sz w:val="24"/>
          <w:szCs w:val="24"/>
        </w:rPr>
        <w:t>Каждый показатель рассчитывается в динамике (то есть по отношению к предыдущему году) (в процентах) по следующей формуле:</w:t>
      </w:r>
    </w:p>
    <w:p w:rsidR="00A54C77" w:rsidRDefault="00A54C77" w:rsidP="00A54C77">
      <w:pPr>
        <w:pStyle w:val="Bodytext60"/>
        <w:shd w:val="clear" w:color="auto" w:fill="auto"/>
        <w:spacing w:before="0" w:after="120" w:line="240" w:lineRule="auto"/>
        <w:rPr>
          <w:rFonts w:ascii="Sylfaen" w:hAnsi="Sylfaen"/>
          <w:sz w:val="24"/>
          <w:szCs w:val="24"/>
          <w:lang w:eastAsia="en-US" w:bidi="en-US"/>
        </w:rPr>
      </w:pPr>
    </w:p>
    <w:p w:rsidR="00A54C77" w:rsidRDefault="006D18AE" w:rsidP="00A54C77">
      <w:pPr>
        <w:pStyle w:val="Bodytext60"/>
        <w:shd w:val="clear" w:color="auto" w:fill="auto"/>
        <w:spacing w:before="0" w:after="120" w:line="240" w:lineRule="auto"/>
        <w:rPr>
          <w:rFonts w:ascii="Sylfaen" w:hAnsi="Sylfaen"/>
          <w:sz w:val="24"/>
          <w:szCs w:val="24"/>
          <w:lang w:eastAsia="en-US" w:bidi="en-US"/>
        </w:rPr>
      </w:pPr>
      <m:oMathPara>
        <m:oMath>
          <m:sSub>
            <m:sSubPr>
              <m:ctrlPr>
                <w:rPr>
                  <w:rFonts w:ascii="Cambria Math" w:hAnsi="Cambria Math" w:cs="Cambria Math"/>
                  <w:i/>
                  <w:sz w:val="24"/>
                  <w:szCs w:val="24"/>
                  <w:lang w:eastAsia="en-US" w:bidi="en-US"/>
                </w:rPr>
              </m:ctrlPr>
            </m:sSubPr>
            <m:e>
              <m:r>
                <w:rPr>
                  <w:rFonts w:ascii="Cambria Math" w:hAnsi="Cambria Math" w:cs="Cambria Math"/>
                  <w:sz w:val="24"/>
                  <w:szCs w:val="24"/>
                  <w:lang w:eastAsia="en-US" w:bidi="en-US"/>
                </w:rPr>
                <m:t>Х</m:t>
              </m:r>
            </m:e>
            <m:sub>
              <m:r>
                <m:rPr>
                  <m:sty m:val="p"/>
                </m:rPr>
                <w:rPr>
                  <w:rFonts w:ascii="Cambria Math" w:hAnsi="Cambria Math" w:cs="Cambria Math"/>
                  <w:sz w:val="24"/>
                  <w:szCs w:val="24"/>
                  <w:lang w:val="en-US" w:eastAsia="en-US" w:bidi="en-US"/>
                </w:rPr>
                <m:t>d</m:t>
              </m:r>
            </m:sub>
          </m:sSub>
          <m:r>
            <m:rPr>
              <m:sty m:val="p"/>
            </m:rPr>
            <w:rPr>
              <w:rFonts w:ascii="Cambria Math" w:hAnsi="Cambria Math" w:cs="Cambria Math"/>
              <w:sz w:val="24"/>
              <w:szCs w:val="24"/>
              <w:lang w:eastAsia="en-US" w:bidi="en-US"/>
            </w:rPr>
            <m:t>=</m:t>
          </m:r>
          <m:f>
            <m:fPr>
              <m:ctrlPr>
                <w:rPr>
                  <w:rFonts w:ascii="Cambria Math" w:hAnsi="Cambria Math"/>
                  <w:sz w:val="24"/>
                  <w:szCs w:val="24"/>
                  <w:lang w:eastAsia="en-US" w:bidi="en-US"/>
                </w:rPr>
              </m:ctrlPr>
            </m:fPr>
            <m:num>
              <m:sSub>
                <m:sSubPr>
                  <m:ctrlPr>
                    <w:rPr>
                      <w:rFonts w:ascii="Cambria Math" w:hAnsi="Cambria Math"/>
                      <w:sz w:val="24"/>
                      <w:szCs w:val="24"/>
                      <w:lang w:eastAsia="en-US" w:bidi="en-US"/>
                    </w:rPr>
                  </m:ctrlPr>
                </m:sSubPr>
                <m:e>
                  <m:r>
                    <m:rPr>
                      <m:sty m:val="p"/>
                    </m:rPr>
                    <w:rPr>
                      <w:rFonts w:ascii="Cambria Math" w:hAnsi="Cambria Math"/>
                      <w:sz w:val="24"/>
                      <w:szCs w:val="24"/>
                      <w:lang w:eastAsia="en-US" w:bidi="en-US"/>
                    </w:rPr>
                    <m:t>X</m:t>
                  </m:r>
                </m:e>
                <m:sub>
                  <m:r>
                    <m:rPr>
                      <m:sty m:val="p"/>
                    </m:rPr>
                    <w:rPr>
                      <w:rFonts w:ascii="Cambria Math" w:hAnsi="Cambria Math"/>
                      <w:sz w:val="24"/>
                      <w:szCs w:val="24"/>
                      <w:lang w:eastAsia="en-US" w:bidi="en-US"/>
                    </w:rPr>
                    <m:t>t</m:t>
                  </m:r>
                </m:sub>
              </m:sSub>
            </m:num>
            <m:den>
              <m:sSub>
                <m:sSubPr>
                  <m:ctrlPr>
                    <w:rPr>
                      <w:rFonts w:ascii="Cambria Math" w:hAnsi="Cambria Math"/>
                      <w:sz w:val="24"/>
                      <w:szCs w:val="24"/>
                      <w:lang w:eastAsia="en-US" w:bidi="en-US"/>
                    </w:rPr>
                  </m:ctrlPr>
                </m:sSubPr>
                <m:e>
                  <m:r>
                    <m:rPr>
                      <m:sty m:val="p"/>
                    </m:rPr>
                    <w:rPr>
                      <w:rFonts w:ascii="Cambria Math" w:hAnsi="Cambria Math"/>
                      <w:sz w:val="24"/>
                      <w:szCs w:val="24"/>
                      <w:lang w:eastAsia="en-US" w:bidi="en-US"/>
                    </w:rPr>
                    <m:t>X</m:t>
                  </m:r>
                </m:e>
                <m:sub>
                  <m:r>
                    <m:rPr>
                      <m:sty m:val="p"/>
                    </m:rPr>
                    <w:rPr>
                      <w:rFonts w:ascii="Cambria Math" w:hAnsi="Cambria Math"/>
                      <w:sz w:val="24"/>
                      <w:szCs w:val="24"/>
                      <w:lang w:eastAsia="en-US" w:bidi="en-US"/>
                    </w:rPr>
                    <m:t>t-1</m:t>
                  </m:r>
                </m:sub>
              </m:sSub>
            </m:den>
          </m:f>
          <m:r>
            <m:rPr>
              <m:sty m:val="p"/>
            </m:rPr>
            <w:rPr>
              <w:rFonts w:ascii="Cambria Math" w:hAnsi="Cambria Math"/>
              <w:sz w:val="24"/>
              <w:szCs w:val="24"/>
              <w:lang w:eastAsia="en-US" w:bidi="en-US"/>
            </w:rPr>
            <m:t>×100</m:t>
          </m:r>
        </m:oMath>
      </m:oMathPara>
    </w:p>
    <w:p w:rsidR="00A54C77" w:rsidRDefault="00A54C77" w:rsidP="00A54C77">
      <w:pPr>
        <w:pStyle w:val="Bodytext60"/>
        <w:shd w:val="clear" w:color="auto" w:fill="auto"/>
        <w:spacing w:before="0" w:after="120" w:line="240" w:lineRule="auto"/>
        <w:rPr>
          <w:rFonts w:ascii="Sylfaen" w:hAnsi="Sylfaen"/>
          <w:sz w:val="24"/>
          <w:szCs w:val="24"/>
          <w:lang w:eastAsia="en-US" w:bidi="en-US"/>
        </w:rPr>
      </w:pPr>
    </w:p>
    <w:p w:rsidR="00A17F3E" w:rsidRPr="00AD0310" w:rsidRDefault="00DD4FDA" w:rsidP="00FE05ED">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где:</w:t>
      </w:r>
    </w:p>
    <w:p w:rsidR="00A17F3E" w:rsidRPr="00AD0310" w:rsidRDefault="00DD4FDA" w:rsidP="00FE05ED">
      <w:pPr>
        <w:pStyle w:val="Bodytext110"/>
        <w:shd w:val="clear" w:color="auto" w:fill="auto"/>
        <w:spacing w:before="0" w:after="120" w:line="240" w:lineRule="auto"/>
        <w:ind w:firstLine="567"/>
        <w:rPr>
          <w:rFonts w:ascii="Sylfaen" w:hAnsi="Sylfaen"/>
          <w:sz w:val="24"/>
          <w:szCs w:val="24"/>
        </w:rPr>
      </w:pPr>
      <w:r w:rsidRPr="00AD0310">
        <w:rPr>
          <w:rFonts w:ascii="Sylfaen" w:hAnsi="Sylfaen"/>
          <w:sz w:val="24"/>
          <w:szCs w:val="24"/>
        </w:rPr>
        <w:t>Х</w:t>
      </w:r>
      <w:r w:rsidR="003719EF">
        <w:rPr>
          <w:rFonts w:ascii="Sylfaen" w:hAnsi="Sylfaen"/>
          <w:sz w:val="24"/>
          <w:szCs w:val="24"/>
          <w:vertAlign w:val="subscript"/>
          <w:lang w:val="en-US"/>
        </w:rPr>
        <w:t>d</w:t>
      </w:r>
      <w:r w:rsidRPr="00AD0310">
        <w:rPr>
          <w:rFonts w:ascii="Sylfaen" w:hAnsi="Sylfaen"/>
          <w:sz w:val="24"/>
          <w:szCs w:val="24"/>
        </w:rPr>
        <w:t>- значение показателя в динамике (индекс);</w:t>
      </w:r>
    </w:p>
    <w:p w:rsidR="00A17F3E" w:rsidRPr="00AD0310" w:rsidRDefault="00DD4FDA" w:rsidP="00FE05ED">
      <w:pPr>
        <w:pStyle w:val="Bodytext110"/>
        <w:shd w:val="clear" w:color="auto" w:fill="auto"/>
        <w:spacing w:before="0" w:after="120" w:line="240" w:lineRule="auto"/>
        <w:ind w:firstLine="567"/>
        <w:rPr>
          <w:rFonts w:ascii="Sylfaen" w:hAnsi="Sylfaen"/>
          <w:sz w:val="24"/>
          <w:szCs w:val="24"/>
        </w:rPr>
      </w:pPr>
      <w:r w:rsidRPr="00AD0310">
        <w:rPr>
          <w:rFonts w:ascii="Sylfaen" w:hAnsi="Sylfaen"/>
          <w:sz w:val="24"/>
          <w:szCs w:val="24"/>
          <w:lang w:val="en-US" w:eastAsia="en-US" w:bidi="en-US"/>
        </w:rPr>
        <w:t>X</w:t>
      </w:r>
      <w:r w:rsidR="003719EF">
        <w:rPr>
          <w:rFonts w:ascii="Sylfaen" w:hAnsi="Sylfaen"/>
          <w:sz w:val="24"/>
          <w:szCs w:val="24"/>
          <w:vertAlign w:val="subscript"/>
          <w:lang w:val="en-US" w:eastAsia="en-US" w:bidi="en-US"/>
        </w:rPr>
        <w:t>t</w:t>
      </w:r>
      <w:r w:rsidRPr="00AD0310">
        <w:rPr>
          <w:rFonts w:ascii="Sylfaen" w:hAnsi="Sylfaen"/>
          <w:sz w:val="24"/>
          <w:szCs w:val="24"/>
          <w:lang w:eastAsia="en-US" w:bidi="en-US"/>
        </w:rPr>
        <w:t xml:space="preserve">- </w:t>
      </w:r>
      <w:r w:rsidRPr="00AD0310">
        <w:rPr>
          <w:rFonts w:ascii="Sylfaen" w:hAnsi="Sylfaen"/>
          <w:sz w:val="24"/>
          <w:szCs w:val="24"/>
        </w:rPr>
        <w:t xml:space="preserve">значение показателя в год </w:t>
      </w:r>
      <w:r w:rsidRPr="00AD0310">
        <w:rPr>
          <w:rFonts w:ascii="Sylfaen" w:hAnsi="Sylfaen"/>
          <w:sz w:val="24"/>
          <w:szCs w:val="24"/>
          <w:lang w:val="en-US" w:eastAsia="en-US" w:bidi="en-US"/>
        </w:rPr>
        <w:t>t</w:t>
      </w:r>
      <w:r w:rsidRPr="00AD0310">
        <w:rPr>
          <w:rFonts w:ascii="Sylfaen" w:hAnsi="Sylfaen"/>
          <w:sz w:val="24"/>
          <w:szCs w:val="24"/>
          <w:lang w:eastAsia="en-US" w:bidi="en-US"/>
        </w:rPr>
        <w:t>;</w:t>
      </w:r>
    </w:p>
    <w:p w:rsidR="00A17F3E" w:rsidRPr="00AD0310" w:rsidRDefault="00DD4FDA" w:rsidP="00FE05ED">
      <w:pPr>
        <w:pStyle w:val="Bodytext110"/>
        <w:shd w:val="clear" w:color="auto" w:fill="auto"/>
        <w:spacing w:before="0" w:after="120" w:line="240" w:lineRule="auto"/>
        <w:ind w:firstLine="567"/>
        <w:rPr>
          <w:rFonts w:ascii="Sylfaen" w:hAnsi="Sylfaen"/>
          <w:sz w:val="24"/>
          <w:szCs w:val="24"/>
        </w:rPr>
      </w:pPr>
      <w:r w:rsidRPr="00AD0310">
        <w:rPr>
          <w:rFonts w:ascii="Sylfaen" w:hAnsi="Sylfaen"/>
          <w:sz w:val="24"/>
          <w:szCs w:val="24"/>
          <w:lang w:val="en-US" w:eastAsia="en-US" w:bidi="en-US"/>
        </w:rPr>
        <w:t>X</w:t>
      </w:r>
      <w:r w:rsidRPr="00AD0310">
        <w:rPr>
          <w:rFonts w:ascii="Sylfaen" w:hAnsi="Sylfaen"/>
          <w:sz w:val="24"/>
          <w:szCs w:val="24"/>
          <w:vertAlign w:val="subscript"/>
          <w:lang w:val="en-US" w:eastAsia="en-US" w:bidi="en-US"/>
        </w:rPr>
        <w:t>t</w:t>
      </w:r>
      <w:r w:rsidR="003719EF" w:rsidRPr="003719EF">
        <w:rPr>
          <w:rFonts w:ascii="Sylfaen" w:hAnsi="Sylfaen"/>
          <w:sz w:val="24"/>
          <w:szCs w:val="24"/>
          <w:vertAlign w:val="subscript"/>
          <w:lang w:eastAsia="en-US" w:bidi="en-US"/>
        </w:rPr>
        <w:t>-1</w:t>
      </w:r>
      <w:r w:rsidRPr="00AD0310">
        <w:rPr>
          <w:rFonts w:ascii="Sylfaen" w:hAnsi="Sylfaen"/>
          <w:sz w:val="24"/>
          <w:szCs w:val="24"/>
          <w:lang w:eastAsia="en-US" w:bidi="en-US"/>
        </w:rPr>
        <w:t xml:space="preserve"> </w:t>
      </w:r>
      <w:r w:rsidRPr="00AD0310">
        <w:rPr>
          <w:rFonts w:ascii="Sylfaen" w:hAnsi="Sylfaen"/>
          <w:sz w:val="24"/>
          <w:szCs w:val="24"/>
        </w:rPr>
        <w:t xml:space="preserve">- значение показателя в год </w:t>
      </w:r>
      <w:r w:rsidRPr="00AD0310">
        <w:rPr>
          <w:rFonts w:ascii="Sylfaen" w:hAnsi="Sylfaen"/>
          <w:sz w:val="24"/>
          <w:szCs w:val="24"/>
          <w:lang w:val="en-US" w:eastAsia="en-US" w:bidi="en-US"/>
        </w:rPr>
        <w:t>t</w:t>
      </w:r>
      <w:r w:rsidRPr="00AD0310">
        <w:rPr>
          <w:rFonts w:ascii="Sylfaen" w:hAnsi="Sylfaen"/>
          <w:sz w:val="24"/>
          <w:szCs w:val="24"/>
          <w:lang w:eastAsia="en-US" w:bidi="en-US"/>
        </w:rPr>
        <w:t>-1</w:t>
      </w:r>
      <w:r w:rsidRPr="00AD0310">
        <w:rPr>
          <w:rFonts w:ascii="Sylfaen" w:hAnsi="Sylfaen"/>
          <w:sz w:val="24"/>
          <w:szCs w:val="24"/>
        </w:rPr>
        <w:t>.</w:t>
      </w:r>
    </w:p>
    <w:p w:rsidR="00A17F3E" w:rsidRPr="00AD0310" w:rsidRDefault="00DD4FDA" w:rsidP="00FE05ED">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Анализ статистических показателей в динамике обусловлен тем, что они позволяют отследить изменения, к которым привели государственные меры регулирования. Благодаря применению динамических индексов возможна их агрегация до более высокого уровня (не только для достижения одной цели, но и в целом для сельского хозяйства, агропродовольственного рынка и (или) агропромышленного комплекса).</w:t>
      </w:r>
    </w:p>
    <w:p w:rsidR="00A17F3E" w:rsidRPr="00AD0310" w:rsidRDefault="00AD0310" w:rsidP="00EC3C25">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22.</w:t>
      </w:r>
      <w:r>
        <w:rPr>
          <w:rFonts w:ascii="Sylfaen" w:hAnsi="Sylfaen"/>
          <w:sz w:val="24"/>
          <w:szCs w:val="24"/>
        </w:rPr>
        <w:t xml:space="preserve"> </w:t>
      </w:r>
      <w:r w:rsidR="00DD4FDA" w:rsidRPr="00AD0310">
        <w:rPr>
          <w:rFonts w:ascii="Sylfaen" w:hAnsi="Sylfaen"/>
          <w:sz w:val="24"/>
          <w:szCs w:val="24"/>
        </w:rPr>
        <w:t>В зависимости от динамики (улучшение, ухудшение или отсутствие изменений) каждому статистическому показателю проставляется 1 балл «динамической оценки». Проставление баллов обусловлено необходимостью унификации расчетов и интерпретаций различных показателей.</w:t>
      </w:r>
    </w:p>
    <w:p w:rsidR="00A17F3E" w:rsidRPr="00AD0310" w:rsidRDefault="00DD4FDA" w:rsidP="00EC3C25">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Балл «динамической оценки» может принимать 3 значения: «- 1» (в случае ухудшения динамики показателя), «0» (в случае отсутствия изменений в динамике показателя), «1» (в случае улучшения динамики показателя).</w:t>
      </w:r>
    </w:p>
    <w:p w:rsidR="00A17F3E" w:rsidRPr="00AD0310" w:rsidRDefault="00DD4FDA" w:rsidP="00EC3C25">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В результате для каждой цели суммируются полученные баллы для каждого критерия.</w:t>
      </w:r>
    </w:p>
    <w:p w:rsidR="00A17F3E" w:rsidRPr="00AD0310" w:rsidRDefault="00DD4FDA" w:rsidP="00EC3C25">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Далее рассчитывается индекс оценки цели (который также анализируется в динамике): полученная сумма баллов «динамической оценки» делится на максимально возможную сумму баллов для этой цели в соответствии со следующими формулами:</w:t>
      </w:r>
    </w:p>
    <w:p w:rsidR="00EC3C25" w:rsidRDefault="006D18AE" w:rsidP="00EC3C25">
      <w:pPr>
        <w:pStyle w:val="Bodytext20"/>
        <w:shd w:val="clear" w:color="auto" w:fill="auto"/>
        <w:spacing w:before="0" w:after="120" w:line="240" w:lineRule="auto"/>
        <w:ind w:firstLine="0"/>
        <w:rPr>
          <w:rFonts w:ascii="Sylfaen" w:hAnsi="Sylfaen"/>
          <w:sz w:val="24"/>
          <w:szCs w:val="24"/>
          <w:lang w:val="en-US"/>
        </w:rPr>
      </w:pPr>
      <m:oMathPara>
        <m:oMath>
          <m:sSup>
            <m:sSupPr>
              <m:ctrlPr>
                <w:rPr>
                  <w:rFonts w:ascii="Cambria Math" w:hAnsi="Cambria Math"/>
                  <w:sz w:val="24"/>
                  <w:szCs w:val="24"/>
                  <w:lang w:val="en-US"/>
                </w:rPr>
              </m:ctrlPr>
            </m:sSupPr>
            <m:e>
              <m:r>
                <m:rPr>
                  <m:sty m:val="p"/>
                </m:rPr>
                <w:rPr>
                  <w:rFonts w:ascii="Cambria Math" w:hAnsi="Cambria Math"/>
                  <w:sz w:val="24"/>
                  <w:szCs w:val="24"/>
                  <w:lang w:val="en-US"/>
                </w:rPr>
                <m:t>I</m:t>
              </m:r>
              <m:d>
                <m:dPr>
                  <m:ctrlPr>
                    <w:rPr>
                      <w:rFonts w:ascii="Cambria Math" w:hAnsi="Cambria Math"/>
                      <w:sz w:val="24"/>
                      <w:szCs w:val="24"/>
                      <w:lang w:val="en-US"/>
                    </w:rPr>
                  </m:ctrlPr>
                </m:dPr>
                <m:e>
                  <m:r>
                    <m:rPr>
                      <m:sty m:val="p"/>
                    </m:rPr>
                    <w:rPr>
                      <w:rFonts w:ascii="Cambria Math" w:hAnsi="Cambria Math"/>
                      <w:sz w:val="24"/>
                      <w:szCs w:val="24"/>
                      <w:lang w:val="en-US"/>
                    </w:rPr>
                    <m:t>i</m:t>
                  </m:r>
                </m:e>
              </m:d>
            </m:e>
            <m:sup>
              <m:r>
                <w:rPr>
                  <w:rFonts w:ascii="Cambria Math" w:hAnsi="Cambria Math"/>
                  <w:sz w:val="24"/>
                  <w:szCs w:val="24"/>
                  <w:lang w:val="en-US"/>
                </w:rPr>
                <m:t>t</m:t>
              </m:r>
            </m:sup>
          </m:sSup>
          <m:r>
            <w:rPr>
              <w:rFonts w:ascii="Cambria Math" w:eastAsia="Cambria Math" w:hAnsi="Cambria Math" w:cs="Cambria Math"/>
              <w:sz w:val="24"/>
              <w:szCs w:val="24"/>
              <w:lang w:val="en-US"/>
            </w:rPr>
            <m:t>=</m:t>
          </m:r>
          <m:f>
            <m:fPr>
              <m:ctrlPr>
                <w:rPr>
                  <w:rFonts w:ascii="Cambria Math" w:hAnsi="Cambria Math"/>
                  <w:sz w:val="24"/>
                  <w:szCs w:val="24"/>
                  <w:lang w:val="en-US"/>
                </w:rPr>
              </m:ctrlPr>
            </m:fPr>
            <m:num>
              <m:nary>
                <m:naryPr>
                  <m:chr m:val="∑"/>
                  <m:limLoc m:val="undOvr"/>
                  <m:supHide m:val="1"/>
                  <m:ctrlPr>
                    <w:rPr>
                      <w:rFonts w:ascii="Cambria Math" w:hAnsi="Cambria Math"/>
                      <w:sz w:val="24"/>
                      <w:szCs w:val="24"/>
                      <w:lang w:val="en-US"/>
                    </w:rPr>
                  </m:ctrlPr>
                </m:naryPr>
                <m:sub>
                  <m:r>
                    <m:rPr>
                      <m:sty m:val="p"/>
                    </m:rPr>
                    <w:rPr>
                      <w:rFonts w:ascii="Cambria Math" w:hAnsi="Cambria Math"/>
                      <w:sz w:val="24"/>
                      <w:szCs w:val="24"/>
                      <w:lang w:val="en-US"/>
                    </w:rPr>
                    <m:t>k</m:t>
                  </m:r>
                </m:sub>
                <m:sup/>
                <m:e>
                  <m:nary>
                    <m:naryPr>
                      <m:chr m:val="∑"/>
                      <m:limLoc m:val="undOvr"/>
                      <m:supHide m:val="1"/>
                      <m:ctrlPr>
                        <w:rPr>
                          <w:rFonts w:ascii="Cambria Math" w:hAnsi="Cambria Math"/>
                          <w:sz w:val="24"/>
                          <w:szCs w:val="24"/>
                          <w:lang w:val="en-US"/>
                        </w:rPr>
                      </m:ctrlPr>
                    </m:naryPr>
                    <m:sub>
                      <m:r>
                        <m:rPr>
                          <m:sty m:val="p"/>
                        </m:rPr>
                        <w:rPr>
                          <w:rFonts w:ascii="Cambria Math" w:hAnsi="Cambria Math"/>
                          <w:sz w:val="24"/>
                          <w:szCs w:val="24"/>
                          <w:lang w:val="en-US"/>
                        </w:rPr>
                        <m:t>n</m:t>
                      </m:r>
                    </m:sub>
                    <m:sup/>
                    <m:e>
                      <m:sSubSup>
                        <m:sSubSupPr>
                          <m:ctrlPr>
                            <w:rPr>
                              <w:rFonts w:ascii="Cambria Math" w:hAnsi="Cambria Math"/>
                              <w:sz w:val="24"/>
                              <w:szCs w:val="24"/>
                              <w:lang w:val="en-US"/>
                            </w:rPr>
                          </m:ctrlPr>
                        </m:sSubSupPr>
                        <m:e>
                          <m:r>
                            <m:rPr>
                              <m:sty m:val="p"/>
                            </m:rPr>
                            <w:rPr>
                              <w:rFonts w:ascii="Cambria Math" w:hAnsi="Cambria Math"/>
                              <w:sz w:val="24"/>
                              <w:szCs w:val="24"/>
                              <w:lang w:val="en-US"/>
                            </w:rPr>
                            <m:t>b</m:t>
                          </m:r>
                        </m:e>
                        <m:sub>
                          <m:r>
                            <m:rPr>
                              <m:sty m:val="p"/>
                            </m:rPr>
                            <w:rPr>
                              <w:rFonts w:ascii="Cambria Math" w:hAnsi="Cambria Math"/>
                              <w:sz w:val="24"/>
                              <w:szCs w:val="24"/>
                              <w:lang w:val="en-US"/>
                            </w:rPr>
                            <m:t>n,k</m:t>
                          </m:r>
                        </m:sub>
                        <m:sup>
                          <m:r>
                            <m:rPr>
                              <m:sty m:val="p"/>
                            </m:rPr>
                            <w:rPr>
                              <w:rFonts w:ascii="Cambria Math" w:hAnsi="Cambria Math"/>
                              <w:sz w:val="24"/>
                              <w:szCs w:val="24"/>
                              <w:lang w:val="en-US"/>
                            </w:rPr>
                            <m:t>i,t</m:t>
                          </m:r>
                        </m:sup>
                      </m:sSubSup>
                    </m:e>
                  </m:nary>
                </m:e>
              </m:nary>
            </m:num>
            <m:den>
              <m:func>
                <m:funcPr>
                  <m:ctrlPr>
                    <w:rPr>
                      <w:rFonts w:ascii="Cambria Math" w:hAnsi="Cambria Math"/>
                      <w:sz w:val="24"/>
                      <w:szCs w:val="24"/>
                      <w:lang w:val="en-US"/>
                    </w:rPr>
                  </m:ctrlPr>
                </m:funcPr>
                <m:fName>
                  <m:r>
                    <m:rPr>
                      <m:sty m:val="p"/>
                    </m:rPr>
                    <w:rPr>
                      <w:rFonts w:ascii="Cambria Math" w:hAnsi="Cambria Math"/>
                      <w:sz w:val="24"/>
                      <w:szCs w:val="24"/>
                      <w:lang w:val="en-US"/>
                    </w:rPr>
                    <m:t>max(</m:t>
                  </m:r>
                </m:fName>
                <m:e>
                  <m:nary>
                    <m:naryPr>
                      <m:chr m:val="∑"/>
                      <m:limLoc m:val="undOvr"/>
                      <m:supHide m:val="1"/>
                      <m:ctrlPr>
                        <w:rPr>
                          <w:rFonts w:ascii="Cambria Math" w:hAnsi="Cambria Math"/>
                          <w:sz w:val="24"/>
                          <w:szCs w:val="24"/>
                          <w:lang w:val="en-US"/>
                        </w:rPr>
                      </m:ctrlPr>
                    </m:naryPr>
                    <m:sub>
                      <m:r>
                        <m:rPr>
                          <m:sty m:val="p"/>
                        </m:rPr>
                        <w:rPr>
                          <w:rFonts w:ascii="Cambria Math" w:hAnsi="Cambria Math"/>
                          <w:sz w:val="24"/>
                          <w:szCs w:val="24"/>
                          <w:lang w:val="en-US"/>
                        </w:rPr>
                        <m:t>k</m:t>
                      </m:r>
                    </m:sub>
                    <m:sup/>
                    <m:e>
                      <m:nary>
                        <m:naryPr>
                          <m:chr m:val="∑"/>
                          <m:limLoc m:val="undOvr"/>
                          <m:supHide m:val="1"/>
                          <m:ctrlPr>
                            <w:rPr>
                              <w:rFonts w:ascii="Cambria Math" w:hAnsi="Cambria Math"/>
                              <w:sz w:val="24"/>
                              <w:szCs w:val="24"/>
                              <w:lang w:val="en-US"/>
                            </w:rPr>
                          </m:ctrlPr>
                        </m:naryPr>
                        <m:sub>
                          <m:r>
                            <m:rPr>
                              <m:sty m:val="p"/>
                            </m:rPr>
                            <w:rPr>
                              <w:rFonts w:ascii="Cambria Math" w:hAnsi="Cambria Math"/>
                              <w:sz w:val="24"/>
                              <w:szCs w:val="24"/>
                              <w:lang w:val="en-US"/>
                            </w:rPr>
                            <m:t>n</m:t>
                          </m:r>
                        </m:sub>
                        <m:sup/>
                        <m:e>
                          <m:sSubSup>
                            <m:sSubSupPr>
                              <m:ctrlPr>
                                <w:rPr>
                                  <w:rFonts w:ascii="Cambria Math" w:hAnsi="Cambria Math"/>
                                  <w:sz w:val="24"/>
                                  <w:szCs w:val="24"/>
                                  <w:lang w:val="en-US"/>
                                </w:rPr>
                              </m:ctrlPr>
                            </m:sSubSupPr>
                            <m:e>
                              <m:r>
                                <m:rPr>
                                  <m:sty m:val="p"/>
                                </m:rPr>
                                <w:rPr>
                                  <w:rFonts w:ascii="Cambria Math" w:hAnsi="Cambria Math"/>
                                  <w:sz w:val="24"/>
                                  <w:szCs w:val="24"/>
                                  <w:lang w:val="en-US"/>
                                </w:rPr>
                                <m:t>b</m:t>
                              </m:r>
                            </m:e>
                            <m:sub>
                              <m:r>
                                <m:rPr>
                                  <m:sty m:val="p"/>
                                </m:rPr>
                                <w:rPr>
                                  <w:rFonts w:ascii="Cambria Math" w:hAnsi="Cambria Math"/>
                                  <w:sz w:val="24"/>
                                  <w:szCs w:val="24"/>
                                  <w:lang w:val="en-US"/>
                                </w:rPr>
                                <m:t>n,k</m:t>
                              </m:r>
                            </m:sub>
                            <m:sup>
                              <m:r>
                                <m:rPr>
                                  <m:sty m:val="p"/>
                                </m:rPr>
                                <w:rPr>
                                  <w:rFonts w:ascii="Cambria Math" w:hAnsi="Cambria Math"/>
                                  <w:sz w:val="24"/>
                                  <w:szCs w:val="24"/>
                                  <w:lang w:val="en-US"/>
                                </w:rPr>
                                <m:t>i,t</m:t>
                              </m:r>
                            </m:sup>
                          </m:sSubSup>
                          <m:r>
                            <m:rPr>
                              <m:sty m:val="p"/>
                            </m:rPr>
                            <w:rPr>
                              <w:rFonts w:ascii="Cambria Math" w:hAnsi="Cambria Math"/>
                              <w:sz w:val="24"/>
                              <w:szCs w:val="24"/>
                              <w:lang w:val="en-US"/>
                            </w:rPr>
                            <m:t>)</m:t>
                          </m:r>
                        </m:e>
                      </m:nary>
                    </m:e>
                  </m:nary>
                </m:e>
              </m:func>
            </m:den>
          </m:f>
          <m:r>
            <m:rPr>
              <m:sty m:val="p"/>
            </m:rPr>
            <w:rPr>
              <w:rFonts w:ascii="Cambria Math" w:hAnsi="Cambria Math"/>
              <w:sz w:val="24"/>
              <w:szCs w:val="24"/>
              <w:lang w:val="en-US"/>
            </w:rPr>
            <m:t>×100,</m:t>
          </m:r>
        </m:oMath>
      </m:oMathPara>
    </w:p>
    <w:p w:rsidR="00EC3C25" w:rsidRDefault="00EC3C25" w:rsidP="00A54C77">
      <w:pPr>
        <w:pStyle w:val="Bodytext20"/>
        <w:shd w:val="clear" w:color="auto" w:fill="auto"/>
        <w:spacing w:before="0" w:after="120" w:line="240" w:lineRule="auto"/>
        <w:ind w:firstLine="0"/>
        <w:rPr>
          <w:rFonts w:ascii="Sylfaen" w:hAnsi="Sylfaen"/>
          <w:sz w:val="24"/>
          <w:szCs w:val="24"/>
          <w:lang w:val="en-US"/>
        </w:rPr>
      </w:pPr>
    </w:p>
    <w:p w:rsidR="00EC3C25" w:rsidRDefault="006D18AE" w:rsidP="00A54C77">
      <w:pPr>
        <w:pStyle w:val="Bodytext20"/>
        <w:shd w:val="clear" w:color="auto" w:fill="auto"/>
        <w:spacing w:before="0" w:after="120" w:line="240" w:lineRule="auto"/>
        <w:ind w:firstLine="0"/>
        <w:rPr>
          <w:rFonts w:ascii="Sylfaen" w:hAnsi="Sylfaen"/>
          <w:sz w:val="24"/>
          <w:szCs w:val="24"/>
          <w:lang w:val="en-US"/>
        </w:rPr>
      </w:pPr>
      <m:oMathPara>
        <m:oMath>
          <m:sSup>
            <m:sSupPr>
              <m:ctrlPr>
                <w:rPr>
                  <w:rFonts w:ascii="Cambria Math" w:hAnsi="Cambria Math"/>
                  <w:i/>
                  <w:sz w:val="24"/>
                  <w:szCs w:val="24"/>
                  <w:lang w:val="en-US"/>
                </w:rPr>
              </m:ctrlPr>
            </m:sSupPr>
            <m:e>
              <m:r>
                <w:rPr>
                  <w:rFonts w:ascii="Cambria Math" w:hAnsi="Cambria Math"/>
                  <w:sz w:val="24"/>
                  <w:szCs w:val="24"/>
                  <w:lang w:val="en-US"/>
                </w:rPr>
                <m:t>∆</m:t>
              </m:r>
              <m:r>
                <m:rPr>
                  <m:sty m:val="p"/>
                </m:rPr>
                <w:rPr>
                  <w:rFonts w:ascii="Cambria Math" w:hAnsi="Cambria Math"/>
                  <w:sz w:val="24"/>
                  <w:szCs w:val="24"/>
                  <w:lang w:val="en-US"/>
                </w:rPr>
                <m:t>I</m:t>
              </m:r>
              <m:r>
                <w:rPr>
                  <w:rFonts w:ascii="Cambria Math" w:hAnsi="Cambria Math"/>
                  <w:sz w:val="24"/>
                  <w:szCs w:val="24"/>
                  <w:lang w:val="en-US"/>
                </w:rPr>
                <m:t>(</m:t>
              </m:r>
              <m:r>
                <m:rPr>
                  <m:sty m:val="p"/>
                </m:rPr>
                <w:rPr>
                  <w:rFonts w:ascii="Cambria Math" w:hAnsi="Cambria Math"/>
                  <w:sz w:val="24"/>
                  <w:szCs w:val="24"/>
                  <w:lang w:val="en-US"/>
                </w:rPr>
                <m:t>i</m:t>
              </m:r>
              <m:r>
                <w:rPr>
                  <w:rFonts w:ascii="Cambria Math" w:hAnsi="Cambria Math"/>
                  <w:sz w:val="24"/>
                  <w:szCs w:val="24"/>
                  <w:lang w:val="en-US"/>
                </w:rPr>
                <m:t>)</m:t>
              </m:r>
            </m:e>
            <m:sup>
              <m:r>
                <m:rPr>
                  <m:sty m:val="p"/>
                </m:rPr>
                <w:rPr>
                  <w:rFonts w:ascii="Cambria Math" w:hAnsi="Cambria Math"/>
                  <w:sz w:val="24"/>
                  <w:szCs w:val="24"/>
                  <w:lang w:val="en-US"/>
                </w:rPr>
                <m:t>t</m:t>
              </m:r>
            </m:sup>
          </m:sSup>
          <m:r>
            <w:rPr>
              <w:rFonts w:ascii="Cambria Math" w:hAnsi="Cambria Math"/>
              <w:sz w:val="24"/>
              <w:szCs w:val="24"/>
              <w:lang w:val="en-US"/>
            </w:rPr>
            <m:t>=</m:t>
          </m:r>
          <m:sSup>
            <m:sSupPr>
              <m:ctrlPr>
                <w:rPr>
                  <w:rFonts w:ascii="Cambria Math" w:hAnsi="Cambria Math"/>
                  <w:sz w:val="24"/>
                  <w:szCs w:val="24"/>
                  <w:lang w:val="en-US"/>
                </w:rPr>
              </m:ctrlPr>
            </m:sSupPr>
            <m:e>
              <m:r>
                <m:rPr>
                  <m:sty m:val="p"/>
                </m:rPr>
                <w:rPr>
                  <w:rFonts w:ascii="Cambria Math" w:hAnsi="Cambria Math"/>
                  <w:sz w:val="24"/>
                  <w:szCs w:val="24"/>
                  <w:lang w:val="en-US"/>
                </w:rPr>
                <m:t>I(i)</m:t>
              </m:r>
            </m:e>
            <m:sup>
              <m:r>
                <m:rPr>
                  <m:sty m:val="p"/>
                </m:rPr>
                <w:rPr>
                  <w:rFonts w:ascii="Cambria Math" w:hAnsi="Cambria Math"/>
                  <w:sz w:val="24"/>
                  <w:szCs w:val="24"/>
                  <w:lang w:val="en-US"/>
                </w:rPr>
                <m:t>t</m:t>
              </m:r>
            </m:sup>
          </m:sSup>
          <m:r>
            <m:rPr>
              <m:sty m:val="p"/>
            </m:rPr>
            <w:rPr>
              <w:rFonts w:ascii="Cambria Math" w:hAnsi="Cambria Math"/>
              <w:sz w:val="24"/>
              <w:szCs w:val="24"/>
              <w:lang w:val="en-US"/>
            </w:rPr>
            <m:t>-</m:t>
          </m:r>
          <m:sSup>
            <m:sSupPr>
              <m:ctrlPr>
                <w:rPr>
                  <w:rFonts w:ascii="Cambria Math" w:hAnsi="Cambria Math"/>
                  <w:sz w:val="24"/>
                  <w:szCs w:val="24"/>
                  <w:lang w:val="en-US"/>
                </w:rPr>
              </m:ctrlPr>
            </m:sSupPr>
            <m:e>
              <m:r>
                <m:rPr>
                  <m:sty m:val="p"/>
                </m:rPr>
                <w:rPr>
                  <w:rFonts w:ascii="Cambria Math" w:hAnsi="Cambria Math"/>
                  <w:sz w:val="24"/>
                  <w:szCs w:val="24"/>
                  <w:lang w:val="en-US"/>
                </w:rPr>
                <m:t>I(i)</m:t>
              </m:r>
            </m:e>
            <m:sup>
              <m:r>
                <m:rPr>
                  <m:sty m:val="p"/>
                </m:rPr>
                <w:rPr>
                  <w:rFonts w:ascii="Cambria Math" w:hAnsi="Cambria Math"/>
                  <w:sz w:val="24"/>
                  <w:szCs w:val="24"/>
                  <w:lang w:val="en-US"/>
                </w:rPr>
                <m:t>t-a</m:t>
              </m:r>
            </m:sup>
          </m:sSup>
        </m:oMath>
      </m:oMathPara>
    </w:p>
    <w:p w:rsidR="00EC3C25" w:rsidRDefault="00EC3C25" w:rsidP="00A54C77">
      <w:pPr>
        <w:pStyle w:val="Bodytext20"/>
        <w:shd w:val="clear" w:color="auto" w:fill="auto"/>
        <w:spacing w:before="0" w:after="120" w:line="240" w:lineRule="auto"/>
        <w:ind w:firstLine="0"/>
        <w:rPr>
          <w:rFonts w:ascii="Sylfaen" w:hAnsi="Sylfaen"/>
          <w:sz w:val="24"/>
          <w:szCs w:val="24"/>
          <w:lang w:val="en-US"/>
        </w:rPr>
      </w:pPr>
    </w:p>
    <w:p w:rsidR="00A17F3E" w:rsidRPr="00AD0310" w:rsidRDefault="00DD4FDA" w:rsidP="00B139B8">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где:</w:t>
      </w:r>
    </w:p>
    <w:p w:rsidR="00A17F3E" w:rsidRPr="00AD0310" w:rsidRDefault="00DD4FDA" w:rsidP="00B139B8">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lang w:val="en-US" w:eastAsia="en-US" w:bidi="en-US"/>
        </w:rPr>
        <w:t>I</w:t>
      </w:r>
      <w:r w:rsidRPr="00AD0310">
        <w:rPr>
          <w:rFonts w:ascii="Sylfaen" w:hAnsi="Sylfaen"/>
          <w:sz w:val="24"/>
          <w:szCs w:val="24"/>
          <w:lang w:eastAsia="en-US" w:bidi="en-US"/>
        </w:rPr>
        <w:t>(</w:t>
      </w:r>
      <w:r w:rsidRPr="00AD0310">
        <w:rPr>
          <w:rFonts w:ascii="Sylfaen" w:hAnsi="Sylfaen"/>
          <w:sz w:val="24"/>
          <w:szCs w:val="24"/>
          <w:lang w:val="en-US" w:eastAsia="en-US" w:bidi="en-US"/>
        </w:rPr>
        <w:t>i</w:t>
      </w:r>
      <w:r w:rsidRPr="00AD0310">
        <w:rPr>
          <w:rFonts w:ascii="Sylfaen" w:hAnsi="Sylfaen"/>
          <w:sz w:val="24"/>
          <w:szCs w:val="24"/>
          <w:lang w:eastAsia="en-US" w:bidi="en-US"/>
        </w:rPr>
        <w:t>)</w:t>
      </w:r>
      <w:r w:rsidR="00B26D93">
        <w:rPr>
          <w:rFonts w:ascii="Sylfaen" w:hAnsi="Sylfaen"/>
          <w:sz w:val="24"/>
          <w:szCs w:val="24"/>
          <w:vertAlign w:val="superscript"/>
          <w:lang w:val="en-US" w:eastAsia="en-US" w:bidi="en-US"/>
        </w:rPr>
        <w:t>t</w:t>
      </w:r>
      <w:r w:rsidRPr="00AD0310">
        <w:rPr>
          <w:rFonts w:ascii="Sylfaen" w:hAnsi="Sylfaen"/>
          <w:sz w:val="24"/>
          <w:szCs w:val="24"/>
          <w:lang w:eastAsia="en-US" w:bidi="en-US"/>
        </w:rPr>
        <w:t xml:space="preserve"> - </w:t>
      </w:r>
      <w:r w:rsidRPr="00AD0310">
        <w:rPr>
          <w:rFonts w:ascii="Sylfaen" w:hAnsi="Sylfaen"/>
          <w:sz w:val="24"/>
          <w:szCs w:val="24"/>
        </w:rPr>
        <w:t xml:space="preserve">индекс оценки цели </w:t>
      </w:r>
      <w:r w:rsidRPr="00AD0310">
        <w:rPr>
          <w:rFonts w:ascii="Sylfaen" w:hAnsi="Sylfaen"/>
          <w:sz w:val="24"/>
          <w:szCs w:val="24"/>
          <w:lang w:eastAsia="en-US" w:bidi="en-US"/>
        </w:rPr>
        <w:t>(</w:t>
      </w:r>
      <w:r w:rsidRPr="00AD0310">
        <w:rPr>
          <w:rFonts w:ascii="Sylfaen" w:hAnsi="Sylfaen"/>
          <w:sz w:val="24"/>
          <w:szCs w:val="24"/>
          <w:lang w:val="en-US" w:eastAsia="en-US" w:bidi="en-US"/>
        </w:rPr>
        <w:t>i</w:t>
      </w:r>
      <w:r w:rsidRPr="00AD0310">
        <w:rPr>
          <w:rFonts w:ascii="Sylfaen" w:hAnsi="Sylfaen"/>
          <w:sz w:val="24"/>
          <w:szCs w:val="24"/>
          <w:lang w:eastAsia="en-US" w:bidi="en-US"/>
        </w:rPr>
        <w:t xml:space="preserve">) </w:t>
      </w:r>
      <w:r w:rsidRPr="00AD0310">
        <w:rPr>
          <w:rFonts w:ascii="Sylfaen" w:hAnsi="Sylfaen"/>
          <w:sz w:val="24"/>
          <w:szCs w:val="24"/>
        </w:rPr>
        <w:t xml:space="preserve">в год </w:t>
      </w:r>
      <w:r w:rsidRPr="00AD0310">
        <w:rPr>
          <w:rFonts w:ascii="Sylfaen" w:hAnsi="Sylfaen"/>
          <w:sz w:val="24"/>
          <w:szCs w:val="24"/>
          <w:lang w:val="en-US" w:eastAsia="en-US" w:bidi="en-US"/>
        </w:rPr>
        <w:t>t</w:t>
      </w:r>
      <w:r w:rsidRPr="00AD0310">
        <w:rPr>
          <w:rFonts w:ascii="Sylfaen" w:hAnsi="Sylfaen"/>
          <w:sz w:val="24"/>
          <w:szCs w:val="24"/>
          <w:lang w:eastAsia="en-US" w:bidi="en-US"/>
        </w:rPr>
        <w:t>;</w:t>
      </w:r>
    </w:p>
    <w:p w:rsidR="00A17F3E" w:rsidRPr="00AD0310" w:rsidRDefault="006D18AE" w:rsidP="00B139B8">
      <w:pPr>
        <w:pStyle w:val="Bodytext20"/>
        <w:shd w:val="clear" w:color="auto" w:fill="auto"/>
        <w:spacing w:before="0" w:after="120" w:line="240" w:lineRule="auto"/>
        <w:ind w:firstLine="567"/>
        <w:rPr>
          <w:rFonts w:ascii="Sylfaen" w:hAnsi="Sylfaen"/>
          <w:sz w:val="24"/>
          <w:szCs w:val="24"/>
        </w:rPr>
      </w:pPr>
      <m:oMath>
        <m:sSubSup>
          <m:sSubSupPr>
            <m:ctrlPr>
              <w:rPr>
                <w:rFonts w:ascii="Cambria Math" w:hAnsi="Cambria Math"/>
                <w:i/>
                <w:sz w:val="24"/>
                <w:szCs w:val="24"/>
                <w:lang w:eastAsia="en-US" w:bidi="en-US"/>
              </w:rPr>
            </m:ctrlPr>
          </m:sSubSupPr>
          <m:e>
            <m:r>
              <m:rPr>
                <m:sty m:val="p"/>
              </m:rPr>
              <w:rPr>
                <w:rFonts w:ascii="Cambria Math" w:hAnsi="Cambria Math"/>
                <w:sz w:val="24"/>
                <w:szCs w:val="24"/>
                <w:lang w:eastAsia="en-US" w:bidi="en-US"/>
              </w:rPr>
              <m:t>b</m:t>
            </m:r>
          </m:e>
          <m:sub>
            <m:r>
              <m:rPr>
                <m:sty m:val="p"/>
              </m:rPr>
              <w:rPr>
                <w:rFonts w:ascii="Cambria Math" w:hAnsi="Cambria Math"/>
                <w:sz w:val="24"/>
                <w:szCs w:val="24"/>
                <w:lang w:eastAsia="en-US" w:bidi="en-US"/>
              </w:rPr>
              <m:t>n,k</m:t>
            </m:r>
          </m:sub>
          <m:sup>
            <m:r>
              <m:rPr>
                <m:sty m:val="p"/>
              </m:rPr>
              <w:rPr>
                <w:rFonts w:ascii="Cambria Math" w:hAnsi="Cambria Math"/>
                <w:sz w:val="24"/>
                <w:szCs w:val="24"/>
                <w:lang w:eastAsia="en-US" w:bidi="en-US"/>
              </w:rPr>
              <m:t>i,t</m:t>
            </m:r>
          </m:sup>
        </m:sSubSup>
      </m:oMath>
      <w:r w:rsidR="00DD4FDA" w:rsidRPr="00AD0310">
        <w:rPr>
          <w:rFonts w:ascii="Sylfaen" w:hAnsi="Sylfaen"/>
          <w:sz w:val="24"/>
          <w:szCs w:val="24"/>
          <w:lang w:eastAsia="en-US" w:bidi="en-US"/>
        </w:rPr>
        <w:t xml:space="preserve"> </w:t>
      </w:r>
      <w:r w:rsidR="00DD4FDA" w:rsidRPr="00AD0310">
        <w:rPr>
          <w:rFonts w:ascii="Sylfaen" w:hAnsi="Sylfaen"/>
          <w:sz w:val="24"/>
          <w:szCs w:val="24"/>
        </w:rPr>
        <w:t xml:space="preserve">- значение балла </w:t>
      </w:r>
      <w:r w:rsidR="00DD4FDA" w:rsidRPr="00AD0310">
        <w:rPr>
          <w:rFonts w:ascii="Sylfaen" w:hAnsi="Sylfaen"/>
          <w:sz w:val="24"/>
          <w:szCs w:val="24"/>
          <w:lang w:val="en-US" w:eastAsia="en-US" w:bidi="en-US"/>
        </w:rPr>
        <w:t>n</w:t>
      </w:r>
      <w:r w:rsidR="00DD4FDA" w:rsidRPr="00AD0310">
        <w:rPr>
          <w:rFonts w:ascii="Sylfaen" w:hAnsi="Sylfaen"/>
          <w:sz w:val="24"/>
          <w:szCs w:val="24"/>
        </w:rPr>
        <w:t xml:space="preserve">-го показателя в рамках критерия </w:t>
      </w:r>
      <w:r w:rsidR="00A07325">
        <w:rPr>
          <w:rFonts w:ascii="Sylfaen" w:hAnsi="Sylfaen"/>
          <w:sz w:val="24"/>
          <w:szCs w:val="24"/>
          <w:lang w:val="en-US"/>
        </w:rPr>
        <w:t>k</w:t>
      </w:r>
      <w:r w:rsidR="00DD4FDA" w:rsidRPr="00AD0310">
        <w:rPr>
          <w:rFonts w:ascii="Sylfaen" w:hAnsi="Sylfaen"/>
          <w:sz w:val="24"/>
          <w:szCs w:val="24"/>
        </w:rPr>
        <w:t xml:space="preserve"> цели </w:t>
      </w:r>
      <w:r w:rsidR="00DD4FDA" w:rsidRPr="00AD0310">
        <w:rPr>
          <w:rFonts w:ascii="Sylfaen" w:hAnsi="Sylfaen"/>
          <w:sz w:val="24"/>
          <w:szCs w:val="24"/>
          <w:lang w:val="en-US" w:eastAsia="en-US" w:bidi="en-US"/>
        </w:rPr>
        <w:t>i</w:t>
      </w:r>
      <w:r w:rsidR="00B139B8" w:rsidRPr="00B139B8">
        <w:rPr>
          <w:rFonts w:ascii="Sylfaen" w:hAnsi="Sylfaen"/>
          <w:sz w:val="24"/>
          <w:szCs w:val="24"/>
          <w:lang w:eastAsia="en-US" w:bidi="en-US"/>
        </w:rPr>
        <w:t xml:space="preserve"> в год </w:t>
      </w:r>
      <w:r w:rsidR="00DD4FDA" w:rsidRPr="00AD0310">
        <w:rPr>
          <w:rFonts w:ascii="Sylfaen" w:hAnsi="Sylfaen"/>
          <w:sz w:val="24"/>
          <w:szCs w:val="24"/>
          <w:lang w:val="en-US" w:eastAsia="en-US" w:bidi="en-US"/>
        </w:rPr>
        <w:t>t</w:t>
      </w:r>
      <w:r w:rsidR="00DD4FDA" w:rsidRPr="00AD0310">
        <w:rPr>
          <w:rFonts w:ascii="Sylfaen" w:hAnsi="Sylfaen"/>
          <w:sz w:val="24"/>
          <w:szCs w:val="24"/>
          <w:lang w:eastAsia="en-US" w:bidi="en-US"/>
        </w:rPr>
        <w:t xml:space="preserve"> </w:t>
      </w:r>
      <w:r w:rsidR="00DD4FDA" w:rsidRPr="00AD0310">
        <w:rPr>
          <w:rFonts w:ascii="Sylfaen" w:hAnsi="Sylfaen"/>
          <w:sz w:val="24"/>
          <w:szCs w:val="24"/>
        </w:rPr>
        <w:t>(балл «динамической оценки»);</w:t>
      </w:r>
    </w:p>
    <w:p w:rsidR="00A17F3E" w:rsidRPr="00AD0310" w:rsidRDefault="001F0DE8" w:rsidP="00B139B8">
      <w:pPr>
        <w:pStyle w:val="Bodytext110"/>
        <w:shd w:val="clear" w:color="auto" w:fill="auto"/>
        <w:spacing w:before="0" w:after="120" w:line="240" w:lineRule="auto"/>
        <w:ind w:firstLine="567"/>
        <w:rPr>
          <w:rFonts w:ascii="Sylfaen" w:hAnsi="Sylfaen"/>
          <w:sz w:val="24"/>
          <w:szCs w:val="24"/>
        </w:rPr>
      </w:pPr>
      <w:r>
        <w:rPr>
          <w:rFonts w:ascii="Sylfaen" w:hAnsi="Sylfaen"/>
          <w:sz w:val="24"/>
          <w:szCs w:val="24"/>
        </w:rPr>
        <w:t>∆I (</w:t>
      </w:r>
      <w:r>
        <w:rPr>
          <w:rFonts w:ascii="Sylfaen" w:hAnsi="Sylfaen"/>
          <w:sz w:val="24"/>
          <w:szCs w:val="24"/>
          <w:lang w:val="en-US"/>
        </w:rPr>
        <w:t>i</w:t>
      </w:r>
      <w:r>
        <w:rPr>
          <w:rFonts w:ascii="Sylfaen" w:hAnsi="Sylfaen"/>
          <w:sz w:val="24"/>
          <w:szCs w:val="24"/>
        </w:rPr>
        <w:t>)</w:t>
      </w:r>
      <w:r>
        <w:rPr>
          <w:rFonts w:ascii="Sylfaen" w:hAnsi="Sylfaen"/>
          <w:sz w:val="24"/>
          <w:szCs w:val="24"/>
          <w:vertAlign w:val="superscript"/>
          <w:lang w:val="en-US"/>
        </w:rPr>
        <w:t>t</w:t>
      </w:r>
      <w:r w:rsidR="00DD4FDA" w:rsidRPr="00AD0310">
        <w:rPr>
          <w:rFonts w:ascii="Sylfaen" w:hAnsi="Sylfaen"/>
          <w:sz w:val="24"/>
          <w:szCs w:val="24"/>
        </w:rPr>
        <w:t xml:space="preserve"> — динамика индекса оценки цели;</w:t>
      </w:r>
    </w:p>
    <w:p w:rsidR="00A17F3E" w:rsidRPr="00AD0310" w:rsidRDefault="00DD4FDA" w:rsidP="00B139B8">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 xml:space="preserve">а - временной параметр для вычисления динамики индекса оценки цели (предыдущий период </w:t>
      </w:r>
      <w:r w:rsidRPr="00AD0310">
        <w:rPr>
          <w:rFonts w:ascii="Sylfaen" w:hAnsi="Sylfaen"/>
          <w:sz w:val="24"/>
          <w:szCs w:val="24"/>
          <w:lang w:eastAsia="en-US" w:bidi="en-US"/>
        </w:rPr>
        <w:t>(</w:t>
      </w:r>
      <w:r w:rsidRPr="00AD0310">
        <w:rPr>
          <w:rFonts w:ascii="Sylfaen" w:hAnsi="Sylfaen"/>
          <w:sz w:val="24"/>
          <w:szCs w:val="24"/>
          <w:lang w:val="en-US" w:eastAsia="en-US" w:bidi="en-US"/>
        </w:rPr>
        <w:t>t</w:t>
      </w:r>
      <w:r w:rsidRPr="00AD0310">
        <w:rPr>
          <w:rFonts w:ascii="Sylfaen" w:hAnsi="Sylfaen"/>
          <w:sz w:val="24"/>
          <w:szCs w:val="24"/>
          <w:lang w:eastAsia="en-US" w:bidi="en-US"/>
        </w:rPr>
        <w:t>-</w:t>
      </w:r>
      <w:r w:rsidRPr="00AD0310">
        <w:rPr>
          <w:rFonts w:ascii="Sylfaen" w:hAnsi="Sylfaen"/>
          <w:sz w:val="24"/>
          <w:szCs w:val="24"/>
          <w:lang w:val="en-US" w:eastAsia="en-US" w:bidi="en-US"/>
        </w:rPr>
        <w:t>a</w:t>
      </w:r>
      <w:r w:rsidRPr="00AD0310">
        <w:rPr>
          <w:rFonts w:ascii="Sylfaen" w:hAnsi="Sylfaen"/>
          <w:sz w:val="24"/>
          <w:szCs w:val="24"/>
          <w:lang w:eastAsia="en-US" w:bidi="en-US"/>
        </w:rPr>
        <w:t xml:space="preserve"> </w:t>
      </w:r>
      <w:r w:rsidRPr="00AD0310">
        <w:rPr>
          <w:rFonts w:ascii="Sylfaen" w:hAnsi="Sylfaen"/>
          <w:sz w:val="24"/>
          <w:szCs w:val="24"/>
        </w:rPr>
        <w:t xml:space="preserve">= </w:t>
      </w:r>
      <w:r w:rsidRPr="00AD0310">
        <w:rPr>
          <w:rFonts w:ascii="Sylfaen" w:hAnsi="Sylfaen"/>
          <w:sz w:val="24"/>
          <w:szCs w:val="24"/>
          <w:lang w:val="en-US" w:eastAsia="en-US" w:bidi="en-US"/>
        </w:rPr>
        <w:t>t</w:t>
      </w:r>
      <w:r w:rsidRPr="00AD0310">
        <w:rPr>
          <w:rFonts w:ascii="Sylfaen" w:hAnsi="Sylfaen"/>
          <w:sz w:val="24"/>
          <w:szCs w:val="24"/>
          <w:lang w:eastAsia="en-US" w:bidi="en-US"/>
        </w:rPr>
        <w:t xml:space="preserve">-1), </w:t>
      </w:r>
      <w:r w:rsidRPr="00AD0310">
        <w:rPr>
          <w:rFonts w:ascii="Sylfaen" w:hAnsi="Sylfaen"/>
          <w:sz w:val="24"/>
          <w:szCs w:val="24"/>
        </w:rPr>
        <w:t xml:space="preserve">базовый период (вместо </w:t>
      </w:r>
      <w:r w:rsidRPr="00AD0310">
        <w:rPr>
          <w:rFonts w:ascii="Sylfaen" w:hAnsi="Sylfaen"/>
          <w:sz w:val="24"/>
          <w:szCs w:val="24"/>
          <w:lang w:eastAsia="en-US" w:bidi="en-US"/>
        </w:rPr>
        <w:t>«</w:t>
      </w:r>
      <w:r w:rsidRPr="00AD0310">
        <w:rPr>
          <w:rFonts w:ascii="Sylfaen" w:hAnsi="Sylfaen"/>
          <w:sz w:val="24"/>
          <w:szCs w:val="24"/>
          <w:lang w:val="en-US" w:eastAsia="en-US" w:bidi="en-US"/>
        </w:rPr>
        <w:t>t</w:t>
      </w:r>
      <w:r w:rsidRPr="00AD0310">
        <w:rPr>
          <w:rFonts w:ascii="Sylfaen" w:hAnsi="Sylfaen"/>
          <w:sz w:val="24"/>
          <w:szCs w:val="24"/>
        </w:rPr>
        <w:t>-а» - «2006»), среднее значение за период (в данном случае индекс оценки</w:t>
      </w:r>
      <w:r w:rsidR="005834DB" w:rsidRPr="005834DB">
        <w:rPr>
          <w:rFonts w:ascii="Sylfaen" w:hAnsi="Sylfaen"/>
          <w:sz w:val="24"/>
          <w:szCs w:val="24"/>
        </w:rPr>
        <w:t xml:space="preserve"> </w:t>
      </w:r>
      <w:r w:rsidRPr="00AD0310">
        <w:rPr>
          <w:rFonts w:ascii="Sylfaen" w:hAnsi="Sylfaen"/>
          <w:sz w:val="24"/>
          <w:szCs w:val="24"/>
        </w:rPr>
        <w:t xml:space="preserve">цели с индексом </w:t>
      </w:r>
      <w:r w:rsidRPr="00AD0310">
        <w:rPr>
          <w:rFonts w:ascii="Sylfaen" w:hAnsi="Sylfaen"/>
          <w:sz w:val="24"/>
          <w:szCs w:val="24"/>
          <w:lang w:eastAsia="en-US" w:bidi="en-US"/>
        </w:rPr>
        <w:t>«</w:t>
      </w:r>
      <w:r w:rsidRPr="00AD0310">
        <w:rPr>
          <w:rFonts w:ascii="Sylfaen" w:hAnsi="Sylfaen"/>
          <w:sz w:val="24"/>
          <w:szCs w:val="24"/>
          <w:lang w:val="en-US" w:eastAsia="en-US" w:bidi="en-US"/>
        </w:rPr>
        <w:t>t</w:t>
      </w:r>
      <w:r w:rsidRPr="00AD0310">
        <w:rPr>
          <w:rFonts w:ascii="Sylfaen" w:hAnsi="Sylfaen"/>
          <w:sz w:val="24"/>
          <w:szCs w:val="24"/>
        </w:rPr>
        <w:t>-а» будет определяться как сумма индексов оценки</w:t>
      </w:r>
      <w:r w:rsidRPr="00AD0310">
        <w:rPr>
          <w:rFonts w:ascii="Sylfaen" w:hAnsi="Sylfaen"/>
          <w:sz w:val="24"/>
          <w:szCs w:val="24"/>
          <w:lang w:eastAsia="en-US" w:bidi="en-US"/>
        </w:rPr>
        <w:t xml:space="preserve"> </w:t>
      </w:r>
      <w:r w:rsidRPr="00AD0310">
        <w:rPr>
          <w:rFonts w:ascii="Sylfaen" w:hAnsi="Sylfaen"/>
          <w:sz w:val="24"/>
          <w:szCs w:val="24"/>
        </w:rPr>
        <w:t xml:space="preserve">цели за все периоды </w:t>
      </w:r>
      <w:r w:rsidRPr="00AD0310">
        <w:rPr>
          <w:rFonts w:ascii="Sylfaen" w:hAnsi="Sylfaen"/>
          <w:sz w:val="24"/>
          <w:szCs w:val="24"/>
          <w:lang w:val="en-US" w:eastAsia="en-US" w:bidi="en-US"/>
        </w:rPr>
        <w:t>t</w:t>
      </w:r>
      <w:r w:rsidRPr="00AD0310">
        <w:rPr>
          <w:rFonts w:ascii="Sylfaen" w:hAnsi="Sylfaen"/>
          <w:sz w:val="24"/>
          <w:szCs w:val="24"/>
          <w:lang w:eastAsia="en-US" w:bidi="en-US"/>
        </w:rPr>
        <w:t xml:space="preserve">, </w:t>
      </w:r>
      <w:r w:rsidRPr="00AD0310">
        <w:rPr>
          <w:rFonts w:ascii="Sylfaen" w:hAnsi="Sylfaen"/>
          <w:sz w:val="24"/>
          <w:szCs w:val="24"/>
        </w:rPr>
        <w:t>деленная на количество периодов)).</w:t>
      </w:r>
    </w:p>
    <w:p w:rsidR="00A17F3E" w:rsidRPr="00AD0310" w:rsidRDefault="00DD4FDA" w:rsidP="005834DB">
      <w:pPr>
        <w:pStyle w:val="Bodytext20"/>
        <w:shd w:val="clear" w:color="auto" w:fill="auto"/>
        <w:spacing w:before="0" w:after="120" w:line="240" w:lineRule="auto"/>
        <w:ind w:left="1701" w:hanging="1134"/>
        <w:rPr>
          <w:rFonts w:ascii="Sylfaen" w:hAnsi="Sylfaen"/>
          <w:sz w:val="24"/>
          <w:szCs w:val="24"/>
        </w:rPr>
      </w:pPr>
      <w:r w:rsidRPr="00AD0310">
        <w:rPr>
          <w:rFonts w:ascii="Sylfaen" w:hAnsi="Sylfaen"/>
          <w:sz w:val="24"/>
          <w:szCs w:val="24"/>
        </w:rPr>
        <w:t>Пример. В рамках цели «обеспечение продовольственной независимости» суммарно представлено 10 показателей (сумма показателей по всем критериям). Таким образом, максимально возможное значение, которое можно получить для данной цели, составляет 10 баллов. При этом, если расчеты имеют значение, например, 5 баллов для цели «обеспечение продовольственной независимости», индекс оценки данной цели составит 0,5 или 50 %. Данное значение говорит о том, что цель была достигнута на 50 %. Однако только числовое значение (то есть значение на текущий год) не позволяет наглядно оценить эффективность мер государственного регулирования. Так, например, в предыдущем году оценка могла составлять 25 %, что свидетельствует о том, что в текущем году эффективность мер выросла. Таким образом, данные оценки рассматриваются в динамике.</w:t>
      </w:r>
    </w:p>
    <w:p w:rsidR="00A17F3E" w:rsidRPr="00AD0310" w:rsidRDefault="00AD0310" w:rsidP="00B139B8">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23.</w:t>
      </w:r>
      <w:r>
        <w:rPr>
          <w:rFonts w:ascii="Sylfaen" w:hAnsi="Sylfaen"/>
          <w:sz w:val="24"/>
          <w:szCs w:val="24"/>
        </w:rPr>
        <w:t xml:space="preserve"> </w:t>
      </w:r>
      <w:r w:rsidR="00DD4FDA" w:rsidRPr="00AD0310">
        <w:rPr>
          <w:rFonts w:ascii="Sylfaen" w:hAnsi="Sylfaen"/>
          <w:sz w:val="24"/>
          <w:szCs w:val="24"/>
        </w:rPr>
        <w:t>Анализ динамики индекса оценки цели характеризует степень достижения поставленных целей посредством реализации государственных мер, так как индекс оценки цели является инструментом оценки эффективности государственных мер регулирования и свидетельствует о доле положительной динамики показателей в отрасли в связи с применением мер государственного регулирования.</w:t>
      </w:r>
    </w:p>
    <w:p w:rsidR="00A17F3E" w:rsidRPr="00AD0310" w:rsidRDefault="00DD4FDA" w:rsidP="00B139B8">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Анализ динамики индекса оценки цели может производиться как по отдельным периодам (например, по отношению к предыдущему периоду), так и по нескольким периодам (например, с учетом динамики по отношению к предыдущему периоду, базовому периоду и среднему значению за период).</w:t>
      </w:r>
    </w:p>
    <w:p w:rsidR="00A17F3E" w:rsidRPr="00AD0310" w:rsidRDefault="00AD0310" w:rsidP="00B139B8">
      <w:pPr>
        <w:pStyle w:val="Bodytext20"/>
        <w:shd w:val="clear" w:color="auto" w:fill="auto"/>
        <w:spacing w:before="0" w:after="120" w:line="240" w:lineRule="auto"/>
        <w:ind w:firstLine="567"/>
        <w:rPr>
          <w:rFonts w:ascii="Sylfaen" w:hAnsi="Sylfaen"/>
          <w:sz w:val="24"/>
          <w:szCs w:val="24"/>
        </w:rPr>
      </w:pPr>
      <w:r w:rsidRPr="00AD0310">
        <w:rPr>
          <w:rFonts w:ascii="Sylfaen" w:hAnsi="Sylfaen"/>
          <w:sz w:val="24"/>
          <w:szCs w:val="24"/>
        </w:rPr>
        <w:t>24.</w:t>
      </w:r>
      <w:r>
        <w:rPr>
          <w:rFonts w:ascii="Sylfaen" w:hAnsi="Sylfaen"/>
          <w:sz w:val="24"/>
          <w:szCs w:val="24"/>
        </w:rPr>
        <w:t xml:space="preserve"> </w:t>
      </w:r>
      <w:r w:rsidR="00DD4FDA" w:rsidRPr="00AD0310">
        <w:rPr>
          <w:rFonts w:ascii="Sylfaen" w:hAnsi="Sylfaen"/>
          <w:sz w:val="24"/>
          <w:szCs w:val="24"/>
        </w:rPr>
        <w:t xml:space="preserve">Настоящая Методология позволяет определить, какой критерий </w:t>
      </w:r>
      <w:r w:rsidR="00DD4FDA" w:rsidRPr="00AD0310">
        <w:rPr>
          <w:rFonts w:ascii="Sylfaen" w:hAnsi="Sylfaen"/>
          <w:sz w:val="24"/>
          <w:szCs w:val="24"/>
        </w:rPr>
        <w:lastRenderedPageBreak/>
        <w:t>(показатель, цель) привел к изменению оценки эффективности</w:t>
      </w:r>
      <w:r w:rsidR="005834DB" w:rsidRPr="005834DB">
        <w:rPr>
          <w:rFonts w:ascii="Sylfaen" w:hAnsi="Sylfaen"/>
          <w:sz w:val="24"/>
          <w:szCs w:val="24"/>
        </w:rPr>
        <w:t xml:space="preserve"> </w:t>
      </w:r>
      <w:r w:rsidR="00DD4FDA" w:rsidRPr="00AD0310">
        <w:rPr>
          <w:rFonts w:ascii="Sylfaen" w:hAnsi="Sylfaen"/>
          <w:sz w:val="24"/>
          <w:szCs w:val="24"/>
        </w:rPr>
        <w:t>мер государственного регулирования, что, в свою очередь, делает возможным разработку рекомендаций по повышению эффективности мер государственного регулирования.</w:t>
      </w:r>
    </w:p>
    <w:sectPr w:rsidR="00A17F3E" w:rsidRPr="00AD0310" w:rsidSect="00AD0310">
      <w:pgSz w:w="11900" w:h="16840"/>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8AE" w:rsidRDefault="006D18AE" w:rsidP="00A17F3E">
      <w:r>
        <w:separator/>
      </w:r>
    </w:p>
  </w:endnote>
  <w:endnote w:type="continuationSeparator" w:id="0">
    <w:p w:rsidR="006D18AE" w:rsidRDefault="006D18AE" w:rsidP="00A1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8AE" w:rsidRDefault="006D18AE"/>
  </w:footnote>
  <w:footnote w:type="continuationSeparator" w:id="0">
    <w:p w:rsidR="006D18AE" w:rsidRDefault="006D18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F3E" w:rsidRDefault="006D18AE">
    <w:pPr>
      <w:rPr>
        <w:sz w:val="2"/>
        <w:szCs w:val="2"/>
      </w:rPr>
    </w:pPr>
    <w:r>
      <w:pict>
        <v:shapetype id="_x0000_t202" coordsize="21600,21600" o:spt="202" path="m,l,21600r21600,l21600,xe">
          <v:stroke joinstyle="miter"/>
          <v:path gradientshapeok="t" o:connecttype="rect"/>
        </v:shapetype>
        <v:shape id="_x0000_s2049" type="#_x0000_t202" style="position:absolute;margin-left:487.05pt;margin-top:51.1pt;width:61.9pt;height:11.9pt;z-index:-251658752;mso-wrap-style:none;mso-wrap-distance-left:5pt;mso-wrap-distance-right:5pt;mso-position-horizontal-relative:page;mso-position-vertical-relative:page" wrapcoords="0 0" filled="f" stroked="f">
          <v:textbox style="mso-fit-shape-to-text:t" inset="0,0,0,0">
            <w:txbxContent>
              <w:p w:rsidR="00A17F3E" w:rsidRDefault="00DD4FDA">
                <w:pPr>
                  <w:pStyle w:val="Headerorfooter0"/>
                  <w:shd w:val="clear" w:color="auto" w:fill="auto"/>
                  <w:spacing w:line="240" w:lineRule="auto"/>
                </w:pPr>
                <w:r>
                  <w:rPr>
                    <w:rStyle w:val="Bodytext2"/>
                  </w:rPr>
                  <w:t>Таблица 1</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F3E" w:rsidRDefault="00A17F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F3E" w:rsidRDefault="00A17F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0EDF"/>
    <w:multiLevelType w:val="multilevel"/>
    <w:tmpl w:val="454E4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2C7698"/>
    <w:multiLevelType w:val="multilevel"/>
    <w:tmpl w:val="75E44AB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2139B8"/>
    <w:multiLevelType w:val="multilevel"/>
    <w:tmpl w:val="2EBE7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CA655C"/>
    <w:multiLevelType w:val="multilevel"/>
    <w:tmpl w:val="6938F7A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2340E3"/>
    <w:multiLevelType w:val="multilevel"/>
    <w:tmpl w:val="22CAE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8D30C9"/>
    <w:multiLevelType w:val="multilevel"/>
    <w:tmpl w:val="9A3A5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17F3E"/>
    <w:rsid w:val="00015DF5"/>
    <w:rsid w:val="00016CA0"/>
    <w:rsid w:val="00067DFB"/>
    <w:rsid w:val="00135E6A"/>
    <w:rsid w:val="00153278"/>
    <w:rsid w:val="001F0DE8"/>
    <w:rsid w:val="00210C55"/>
    <w:rsid w:val="002225DA"/>
    <w:rsid w:val="00236F29"/>
    <w:rsid w:val="00241EC4"/>
    <w:rsid w:val="00301251"/>
    <w:rsid w:val="00350CE9"/>
    <w:rsid w:val="003719EF"/>
    <w:rsid w:val="00405780"/>
    <w:rsid w:val="0040758F"/>
    <w:rsid w:val="00477040"/>
    <w:rsid w:val="004845A4"/>
    <w:rsid w:val="00500BBF"/>
    <w:rsid w:val="005568DD"/>
    <w:rsid w:val="005834DB"/>
    <w:rsid w:val="00634E8B"/>
    <w:rsid w:val="006C0A79"/>
    <w:rsid w:val="006D18AE"/>
    <w:rsid w:val="0072009B"/>
    <w:rsid w:val="007D6C8B"/>
    <w:rsid w:val="00804432"/>
    <w:rsid w:val="00866B31"/>
    <w:rsid w:val="00896E7D"/>
    <w:rsid w:val="00936F4D"/>
    <w:rsid w:val="009C0C50"/>
    <w:rsid w:val="00A07325"/>
    <w:rsid w:val="00A17F3E"/>
    <w:rsid w:val="00A47D6F"/>
    <w:rsid w:val="00A54C77"/>
    <w:rsid w:val="00A64213"/>
    <w:rsid w:val="00AD0310"/>
    <w:rsid w:val="00B139B8"/>
    <w:rsid w:val="00B26D93"/>
    <w:rsid w:val="00C47325"/>
    <w:rsid w:val="00CB39DF"/>
    <w:rsid w:val="00D3741F"/>
    <w:rsid w:val="00D462CE"/>
    <w:rsid w:val="00D539FA"/>
    <w:rsid w:val="00DD4FDA"/>
    <w:rsid w:val="00DE3A8A"/>
    <w:rsid w:val="00E06380"/>
    <w:rsid w:val="00E47CB4"/>
    <w:rsid w:val="00E51C63"/>
    <w:rsid w:val="00E91D8C"/>
    <w:rsid w:val="00EC3C25"/>
    <w:rsid w:val="00EE07ED"/>
    <w:rsid w:val="00F0569F"/>
    <w:rsid w:val="00F06FFA"/>
    <w:rsid w:val="00FE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7F3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7F3E"/>
    <w:rPr>
      <w:color w:val="0066CC"/>
      <w:u w:val="single"/>
    </w:rPr>
  </w:style>
  <w:style w:type="character" w:customStyle="1" w:styleId="Bodytext3">
    <w:name w:val="Body text (3)_"/>
    <w:basedOn w:val="DefaultParagraphFont"/>
    <w:link w:val="Bodytext30"/>
    <w:rsid w:val="00A17F3E"/>
    <w:rPr>
      <w:rFonts w:ascii="Times New Roman" w:eastAsia="Times New Roman" w:hAnsi="Times New Roman" w:cs="Times New Roman"/>
      <w:b/>
      <w:bCs/>
      <w:i w:val="0"/>
      <w:iCs w:val="0"/>
      <w:smallCaps w:val="0"/>
      <w:strike w:val="0"/>
      <w:sz w:val="28"/>
      <w:szCs w:val="28"/>
      <w:u w:val="none"/>
    </w:rPr>
  </w:style>
  <w:style w:type="character" w:customStyle="1" w:styleId="Heading4">
    <w:name w:val="Heading #4_"/>
    <w:basedOn w:val="DefaultParagraphFont"/>
    <w:link w:val="Heading40"/>
    <w:rsid w:val="00A17F3E"/>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A17F3E"/>
    <w:rPr>
      <w:rFonts w:ascii="Times New Roman" w:eastAsia="Times New Roman" w:hAnsi="Times New Roman" w:cs="Times New Roman"/>
      <w:b/>
      <w:bCs/>
      <w:i w:val="0"/>
      <w:iCs w:val="0"/>
      <w:smallCaps w:val="0"/>
      <w:strike w:val="0"/>
      <w:sz w:val="28"/>
      <w:szCs w:val="28"/>
      <w:u w:val="none"/>
    </w:rPr>
  </w:style>
  <w:style w:type="character" w:customStyle="1" w:styleId="Tablecaption2Spacing4pt">
    <w:name w:val="Table caption (2) + Spacing 4 pt"/>
    <w:basedOn w:val="Tablecaption2"/>
    <w:rsid w:val="00A17F3E"/>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Bodytext2">
    <w:name w:val="Body text (2)_"/>
    <w:basedOn w:val="DefaultParagraphFont"/>
    <w:link w:val="Bodytext20"/>
    <w:rsid w:val="00A17F3E"/>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basedOn w:val="Bodytext2"/>
    <w:rsid w:val="00A17F3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Sylfaen">
    <w:name w:val="Body text (2) + Sylfaen"/>
    <w:aliases w:val="13 pt"/>
    <w:basedOn w:val="Bodytext2"/>
    <w:rsid w:val="00A17F3E"/>
    <w:rPr>
      <w:rFonts w:ascii="Sylfaen" w:eastAsia="Sylfaen" w:hAnsi="Sylfaen" w:cs="Sylfaen"/>
      <w:b/>
      <w:bCs/>
      <w:i w:val="0"/>
      <w:iCs w:val="0"/>
      <w:smallCaps w:val="0"/>
      <w:strike w:val="0"/>
      <w:color w:val="000000"/>
      <w:spacing w:val="0"/>
      <w:w w:val="100"/>
      <w:position w:val="0"/>
      <w:sz w:val="26"/>
      <w:szCs w:val="26"/>
      <w:u w:val="none"/>
      <w:lang w:val="ru-RU" w:eastAsia="ru-RU" w:bidi="ru-RU"/>
    </w:rPr>
  </w:style>
  <w:style w:type="character" w:customStyle="1" w:styleId="Bodytext2Bold0">
    <w:name w:val="Body text (2) + Bold"/>
    <w:aliases w:val="Spacing 2 pt"/>
    <w:basedOn w:val="Bodytext2"/>
    <w:rsid w:val="00A17F3E"/>
    <w:rPr>
      <w:rFonts w:ascii="Times New Roman" w:eastAsia="Times New Roman" w:hAnsi="Times New Roman" w:cs="Times New Roman"/>
      <w:b/>
      <w:bCs/>
      <w:i w:val="0"/>
      <w:iCs w:val="0"/>
      <w:smallCaps w:val="0"/>
      <w:strike w:val="0"/>
      <w:color w:val="000000"/>
      <w:spacing w:val="50"/>
      <w:w w:val="100"/>
      <w:position w:val="0"/>
      <w:sz w:val="28"/>
      <w:szCs w:val="28"/>
      <w:u w:val="none"/>
      <w:lang w:val="ru-RU" w:eastAsia="ru-RU" w:bidi="ru-RU"/>
    </w:rPr>
  </w:style>
  <w:style w:type="character" w:customStyle="1" w:styleId="Bodytext3Spacing2pt">
    <w:name w:val="Body text (3) + Spacing 2 pt"/>
    <w:basedOn w:val="Bodytext3"/>
    <w:rsid w:val="00A17F3E"/>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9Spacing0pt">
    <w:name w:val="Body text (9) + Spacing 0 pt"/>
    <w:basedOn w:val="DefaultParagraphFont"/>
    <w:rsid w:val="00A17F3E"/>
    <w:rPr>
      <w:rFonts w:ascii="Times New Roman" w:eastAsia="Times New Roman" w:hAnsi="Times New Roman" w:cs="Times New Roman"/>
      <w:b w:val="0"/>
      <w:bCs w:val="0"/>
      <w:i w:val="0"/>
      <w:iCs w:val="0"/>
      <w:smallCaps w:val="0"/>
      <w:strike w:val="0"/>
      <w:sz w:val="28"/>
      <w:szCs w:val="28"/>
      <w:u w:val="none"/>
    </w:rPr>
  </w:style>
  <w:style w:type="character" w:customStyle="1" w:styleId="Headerorfooter">
    <w:name w:val="Header or footer_"/>
    <w:basedOn w:val="DefaultParagraphFont"/>
    <w:link w:val="Headerorfooter0"/>
    <w:rsid w:val="00A17F3E"/>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295pt">
    <w:name w:val="Body text (2) + 9.5 pt"/>
    <w:basedOn w:val="Bodytext2"/>
    <w:rsid w:val="00A17F3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Tablecaption3">
    <w:name w:val="Table caption (3)"/>
    <w:basedOn w:val="DefaultParagraphFont"/>
    <w:rsid w:val="00A17F3E"/>
    <w:rPr>
      <w:rFonts w:ascii="Times New Roman" w:eastAsia="Times New Roman" w:hAnsi="Times New Roman" w:cs="Times New Roman"/>
      <w:b w:val="0"/>
      <w:bCs w:val="0"/>
      <w:i w:val="0"/>
      <w:iCs w:val="0"/>
      <w:smallCaps w:val="0"/>
      <w:strike w:val="0"/>
      <w:sz w:val="28"/>
      <w:szCs w:val="28"/>
      <w:u w:val="none"/>
    </w:rPr>
  </w:style>
  <w:style w:type="character" w:customStyle="1" w:styleId="Tablecaption">
    <w:name w:val="Table caption"/>
    <w:basedOn w:val="DefaultParagraphFont"/>
    <w:rsid w:val="00A17F3E"/>
    <w:rPr>
      <w:rFonts w:ascii="Times New Roman" w:eastAsia="Times New Roman" w:hAnsi="Times New Roman" w:cs="Times New Roman"/>
      <w:b w:val="0"/>
      <w:bCs w:val="0"/>
      <w:i w:val="0"/>
      <w:iCs w:val="0"/>
      <w:smallCaps w:val="0"/>
      <w:strike w:val="0"/>
      <w:sz w:val="28"/>
      <w:szCs w:val="28"/>
      <w:u w:val="none"/>
    </w:rPr>
  </w:style>
  <w:style w:type="character" w:customStyle="1" w:styleId="Bodytext2Sylfaen0">
    <w:name w:val="Body text (2) + Sylfaen"/>
    <w:aliases w:val="8 pt"/>
    <w:basedOn w:val="Bodytext2"/>
    <w:rsid w:val="00A17F3E"/>
    <w:rPr>
      <w:rFonts w:ascii="Sylfaen" w:eastAsia="Sylfaen" w:hAnsi="Sylfaen" w:cs="Sylfaen"/>
      <w:b w:val="0"/>
      <w:bCs w:val="0"/>
      <w:i w:val="0"/>
      <w:iCs w:val="0"/>
      <w:smallCaps w:val="0"/>
      <w:strike w:val="0"/>
      <w:color w:val="000000"/>
      <w:spacing w:val="0"/>
      <w:w w:val="100"/>
      <w:position w:val="0"/>
      <w:sz w:val="16"/>
      <w:szCs w:val="16"/>
      <w:u w:val="none"/>
      <w:lang w:val="ru-RU" w:eastAsia="ru-RU" w:bidi="ru-RU"/>
    </w:rPr>
  </w:style>
  <w:style w:type="character" w:customStyle="1" w:styleId="Bodytext6">
    <w:name w:val="Body text (6)_"/>
    <w:basedOn w:val="DefaultParagraphFont"/>
    <w:link w:val="Bodytext60"/>
    <w:rsid w:val="00A17F3E"/>
    <w:rPr>
      <w:rFonts w:ascii="Times New Roman" w:eastAsia="Times New Roman" w:hAnsi="Times New Roman" w:cs="Times New Roman"/>
      <w:b w:val="0"/>
      <w:bCs w:val="0"/>
      <w:i w:val="0"/>
      <w:iCs w:val="0"/>
      <w:smallCaps w:val="0"/>
      <w:strike w:val="0"/>
      <w:sz w:val="50"/>
      <w:szCs w:val="50"/>
      <w:u w:val="none"/>
    </w:rPr>
  </w:style>
  <w:style w:type="character" w:customStyle="1" w:styleId="Heading12">
    <w:name w:val="Heading #1 (2)_"/>
    <w:basedOn w:val="DefaultParagraphFont"/>
    <w:link w:val="Heading120"/>
    <w:rsid w:val="00A17F3E"/>
    <w:rPr>
      <w:b w:val="0"/>
      <w:bCs w:val="0"/>
      <w:i w:val="0"/>
      <w:iCs w:val="0"/>
      <w:smallCaps w:val="0"/>
      <w:strike w:val="0"/>
      <w:sz w:val="34"/>
      <w:szCs w:val="34"/>
      <w:u w:val="none"/>
      <w:lang w:val="en-US" w:eastAsia="en-US" w:bidi="en-US"/>
    </w:rPr>
  </w:style>
  <w:style w:type="character" w:customStyle="1" w:styleId="Bodytext11">
    <w:name w:val="Body text (11)_"/>
    <w:basedOn w:val="DefaultParagraphFont"/>
    <w:link w:val="Bodytext110"/>
    <w:rsid w:val="00A17F3E"/>
    <w:rPr>
      <w:rFonts w:ascii="Times New Roman" w:eastAsia="Times New Roman" w:hAnsi="Times New Roman" w:cs="Times New Roman"/>
      <w:b w:val="0"/>
      <w:bCs w:val="0"/>
      <w:i w:val="0"/>
      <w:iCs w:val="0"/>
      <w:smallCaps w:val="0"/>
      <w:strike w:val="0"/>
      <w:sz w:val="28"/>
      <w:szCs w:val="28"/>
      <w:u w:val="none"/>
    </w:rPr>
  </w:style>
  <w:style w:type="character" w:customStyle="1" w:styleId="Heading22">
    <w:name w:val="Heading #2 (2)_"/>
    <w:basedOn w:val="DefaultParagraphFont"/>
    <w:link w:val="Heading220"/>
    <w:rsid w:val="00A17F3E"/>
    <w:rPr>
      <w:rFonts w:ascii="Times New Roman" w:eastAsia="Times New Roman" w:hAnsi="Times New Roman" w:cs="Times New Roman"/>
      <w:b/>
      <w:bCs/>
      <w:i w:val="0"/>
      <w:iCs w:val="0"/>
      <w:smallCaps w:val="0"/>
      <w:strike w:val="0"/>
      <w:spacing w:val="-20"/>
      <w:sz w:val="58"/>
      <w:szCs w:val="58"/>
      <w:u w:val="none"/>
      <w:lang w:val="en-US" w:eastAsia="en-US" w:bidi="en-US"/>
    </w:rPr>
  </w:style>
  <w:style w:type="character" w:customStyle="1" w:styleId="Heading5">
    <w:name w:val="Heading #5_"/>
    <w:basedOn w:val="DefaultParagraphFont"/>
    <w:link w:val="Heading50"/>
    <w:rsid w:val="00A17F3E"/>
    <w:rPr>
      <w:rFonts w:ascii="Times New Roman" w:eastAsia="Times New Roman" w:hAnsi="Times New Roman" w:cs="Times New Roman"/>
      <w:b w:val="0"/>
      <w:bCs w:val="0"/>
      <w:i w:val="0"/>
      <w:iCs w:val="0"/>
      <w:smallCaps w:val="0"/>
      <w:strike w:val="0"/>
      <w:spacing w:val="0"/>
      <w:sz w:val="30"/>
      <w:szCs w:val="30"/>
      <w:u w:val="none"/>
      <w:lang w:val="en-US" w:eastAsia="en-US" w:bidi="en-US"/>
    </w:rPr>
  </w:style>
  <w:style w:type="character" w:customStyle="1" w:styleId="Heading51">
    <w:name w:val="Heading #5"/>
    <w:basedOn w:val="Heading5"/>
    <w:rsid w:val="00A17F3E"/>
    <w:rPr>
      <w:rFonts w:ascii="Times New Roman" w:eastAsia="Times New Roman" w:hAnsi="Times New Roman" w:cs="Times New Roman"/>
      <w:b w:val="0"/>
      <w:bCs w:val="0"/>
      <w:i w:val="0"/>
      <w:iCs w:val="0"/>
      <w:smallCaps w:val="0"/>
      <w:strike/>
      <w:color w:val="000000"/>
      <w:spacing w:val="0"/>
      <w:w w:val="100"/>
      <w:position w:val="0"/>
      <w:sz w:val="30"/>
      <w:szCs w:val="30"/>
      <w:u w:val="none"/>
      <w:lang w:val="en-US" w:eastAsia="en-US" w:bidi="en-US"/>
    </w:rPr>
  </w:style>
  <w:style w:type="character" w:customStyle="1" w:styleId="Heading52">
    <w:name w:val="Heading #5"/>
    <w:basedOn w:val="Heading5"/>
    <w:rsid w:val="00A17F3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Bodytext12">
    <w:name w:val="Body text (12)_"/>
    <w:basedOn w:val="DefaultParagraphFont"/>
    <w:link w:val="Bodytext120"/>
    <w:rsid w:val="00A17F3E"/>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Heading3">
    <w:name w:val="Heading #3_"/>
    <w:basedOn w:val="DefaultParagraphFont"/>
    <w:link w:val="Heading30"/>
    <w:rsid w:val="00A17F3E"/>
    <w:rPr>
      <w:rFonts w:ascii="Times New Roman" w:eastAsia="Times New Roman" w:hAnsi="Times New Roman" w:cs="Times New Roman"/>
      <w:b w:val="0"/>
      <w:bCs w:val="0"/>
      <w:i w:val="0"/>
      <w:iCs w:val="0"/>
      <w:smallCaps w:val="0"/>
      <w:strike w:val="0"/>
      <w:sz w:val="56"/>
      <w:szCs w:val="56"/>
      <w:u w:val="none"/>
    </w:rPr>
  </w:style>
  <w:style w:type="character" w:customStyle="1" w:styleId="Bodytext2Spacing-1pt">
    <w:name w:val="Body text (2) + Spacing -1 pt"/>
    <w:basedOn w:val="Bodytext2"/>
    <w:rsid w:val="00A17F3E"/>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en-US" w:eastAsia="en-US" w:bidi="en-US"/>
    </w:rPr>
  </w:style>
  <w:style w:type="character" w:customStyle="1" w:styleId="Bodytext13">
    <w:name w:val="Body text (13)_"/>
    <w:basedOn w:val="DefaultParagraphFont"/>
    <w:link w:val="Bodytext130"/>
    <w:rsid w:val="00A17F3E"/>
    <w:rPr>
      <w:b w:val="0"/>
      <w:bCs w:val="0"/>
      <w:i w:val="0"/>
      <w:iCs w:val="0"/>
      <w:smallCaps w:val="0"/>
      <w:strike w:val="0"/>
      <w:sz w:val="16"/>
      <w:szCs w:val="16"/>
      <w:u w:val="none"/>
    </w:rPr>
  </w:style>
  <w:style w:type="paragraph" w:customStyle="1" w:styleId="Bodytext30">
    <w:name w:val="Body text (3)"/>
    <w:basedOn w:val="Normal"/>
    <w:link w:val="Bodytext3"/>
    <w:rsid w:val="00A17F3E"/>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40">
    <w:name w:val="Heading #4"/>
    <w:basedOn w:val="Normal"/>
    <w:link w:val="Heading4"/>
    <w:rsid w:val="00A17F3E"/>
    <w:pPr>
      <w:shd w:val="clear" w:color="auto" w:fill="FFFFFF"/>
      <w:spacing w:before="120" w:after="660" w:line="0" w:lineRule="atLeast"/>
      <w:jc w:val="center"/>
      <w:outlineLvl w:val="3"/>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A17F3E"/>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A17F3E"/>
    <w:pPr>
      <w:shd w:val="clear" w:color="auto" w:fill="FFFFFF"/>
      <w:spacing w:before="420" w:after="660" w:line="0" w:lineRule="atLeast"/>
      <w:ind w:hanging="1160"/>
      <w:jc w:val="both"/>
    </w:pPr>
    <w:rPr>
      <w:rFonts w:ascii="Times New Roman" w:eastAsia="Times New Roman" w:hAnsi="Times New Roman" w:cs="Times New Roman"/>
      <w:sz w:val="28"/>
      <w:szCs w:val="28"/>
    </w:rPr>
  </w:style>
  <w:style w:type="paragraph" w:customStyle="1" w:styleId="Headerorfooter0">
    <w:name w:val="Header or footer"/>
    <w:basedOn w:val="Normal"/>
    <w:link w:val="Headerorfooter"/>
    <w:rsid w:val="00A17F3E"/>
    <w:pPr>
      <w:shd w:val="clear" w:color="auto" w:fill="FFFFFF"/>
      <w:spacing w:line="0" w:lineRule="atLeast"/>
    </w:pPr>
    <w:rPr>
      <w:rFonts w:ascii="Times New Roman" w:eastAsia="Times New Roman" w:hAnsi="Times New Roman" w:cs="Times New Roman"/>
      <w:spacing w:val="20"/>
      <w:sz w:val="26"/>
      <w:szCs w:val="26"/>
    </w:rPr>
  </w:style>
  <w:style w:type="paragraph" w:customStyle="1" w:styleId="Bodytext60">
    <w:name w:val="Body text (6)"/>
    <w:basedOn w:val="Normal"/>
    <w:link w:val="Bodytext6"/>
    <w:rsid w:val="00A17F3E"/>
    <w:pPr>
      <w:shd w:val="clear" w:color="auto" w:fill="FFFFFF"/>
      <w:spacing w:before="240" w:line="0" w:lineRule="atLeast"/>
      <w:jc w:val="center"/>
    </w:pPr>
    <w:rPr>
      <w:rFonts w:ascii="Times New Roman" w:eastAsia="Times New Roman" w:hAnsi="Times New Roman" w:cs="Times New Roman"/>
      <w:sz w:val="50"/>
      <w:szCs w:val="50"/>
    </w:rPr>
  </w:style>
  <w:style w:type="paragraph" w:customStyle="1" w:styleId="Heading120">
    <w:name w:val="Heading #1 (2)"/>
    <w:basedOn w:val="Normal"/>
    <w:link w:val="Heading12"/>
    <w:rsid w:val="00A17F3E"/>
    <w:pPr>
      <w:shd w:val="clear" w:color="auto" w:fill="FFFFFF"/>
      <w:spacing w:after="360" w:line="0" w:lineRule="atLeast"/>
      <w:outlineLvl w:val="0"/>
    </w:pPr>
    <w:rPr>
      <w:sz w:val="34"/>
      <w:szCs w:val="34"/>
      <w:lang w:val="en-US" w:eastAsia="en-US" w:bidi="en-US"/>
    </w:rPr>
  </w:style>
  <w:style w:type="paragraph" w:customStyle="1" w:styleId="Bodytext110">
    <w:name w:val="Body text (11)"/>
    <w:basedOn w:val="Normal"/>
    <w:link w:val="Bodytext11"/>
    <w:rsid w:val="00A17F3E"/>
    <w:pPr>
      <w:shd w:val="clear" w:color="auto" w:fill="FFFFFF"/>
      <w:spacing w:before="240" w:line="576" w:lineRule="exact"/>
      <w:jc w:val="both"/>
    </w:pPr>
    <w:rPr>
      <w:rFonts w:ascii="Times New Roman" w:eastAsia="Times New Roman" w:hAnsi="Times New Roman" w:cs="Times New Roman"/>
      <w:sz w:val="28"/>
      <w:szCs w:val="28"/>
    </w:rPr>
  </w:style>
  <w:style w:type="paragraph" w:customStyle="1" w:styleId="Heading220">
    <w:name w:val="Heading #2 (2)"/>
    <w:basedOn w:val="Normal"/>
    <w:link w:val="Heading22"/>
    <w:rsid w:val="00A17F3E"/>
    <w:pPr>
      <w:shd w:val="clear" w:color="auto" w:fill="FFFFFF"/>
      <w:spacing w:before="120" w:line="0" w:lineRule="atLeast"/>
      <w:jc w:val="center"/>
      <w:outlineLvl w:val="1"/>
    </w:pPr>
    <w:rPr>
      <w:rFonts w:ascii="Times New Roman" w:eastAsia="Times New Roman" w:hAnsi="Times New Roman" w:cs="Times New Roman"/>
      <w:b/>
      <w:bCs/>
      <w:spacing w:val="-20"/>
      <w:sz w:val="58"/>
      <w:szCs w:val="58"/>
      <w:lang w:val="en-US" w:eastAsia="en-US" w:bidi="en-US"/>
    </w:rPr>
  </w:style>
  <w:style w:type="paragraph" w:customStyle="1" w:styleId="Heading50">
    <w:name w:val="Heading #5"/>
    <w:basedOn w:val="Normal"/>
    <w:link w:val="Heading5"/>
    <w:rsid w:val="00A17F3E"/>
    <w:pPr>
      <w:shd w:val="clear" w:color="auto" w:fill="FFFFFF"/>
      <w:spacing w:line="0" w:lineRule="atLeast"/>
      <w:jc w:val="both"/>
      <w:outlineLvl w:val="4"/>
    </w:pPr>
    <w:rPr>
      <w:rFonts w:ascii="Times New Roman" w:eastAsia="Times New Roman" w:hAnsi="Times New Roman" w:cs="Times New Roman"/>
      <w:sz w:val="30"/>
      <w:szCs w:val="30"/>
      <w:lang w:val="en-US" w:eastAsia="en-US" w:bidi="en-US"/>
    </w:rPr>
  </w:style>
  <w:style w:type="paragraph" w:customStyle="1" w:styleId="Bodytext120">
    <w:name w:val="Body text (12)"/>
    <w:basedOn w:val="Normal"/>
    <w:link w:val="Bodytext12"/>
    <w:rsid w:val="00A17F3E"/>
    <w:pPr>
      <w:shd w:val="clear" w:color="auto" w:fill="FFFFFF"/>
      <w:spacing w:before="120" w:after="120" w:line="0" w:lineRule="atLeast"/>
      <w:jc w:val="center"/>
    </w:pPr>
    <w:rPr>
      <w:rFonts w:ascii="Times New Roman" w:eastAsia="Times New Roman" w:hAnsi="Times New Roman" w:cs="Times New Roman"/>
      <w:sz w:val="19"/>
      <w:szCs w:val="19"/>
      <w:lang w:val="en-US" w:eastAsia="en-US" w:bidi="en-US"/>
    </w:rPr>
  </w:style>
  <w:style w:type="paragraph" w:customStyle="1" w:styleId="Heading30">
    <w:name w:val="Heading #3"/>
    <w:basedOn w:val="Normal"/>
    <w:link w:val="Heading3"/>
    <w:rsid w:val="00A17F3E"/>
    <w:pPr>
      <w:shd w:val="clear" w:color="auto" w:fill="FFFFFF"/>
      <w:spacing w:before="120" w:after="420" w:line="0" w:lineRule="atLeast"/>
      <w:jc w:val="center"/>
      <w:outlineLvl w:val="2"/>
    </w:pPr>
    <w:rPr>
      <w:rFonts w:ascii="Times New Roman" w:eastAsia="Times New Roman" w:hAnsi="Times New Roman" w:cs="Times New Roman"/>
      <w:sz w:val="56"/>
      <w:szCs w:val="56"/>
    </w:rPr>
  </w:style>
  <w:style w:type="paragraph" w:customStyle="1" w:styleId="Bodytext130">
    <w:name w:val="Body text (13)"/>
    <w:basedOn w:val="Normal"/>
    <w:link w:val="Bodytext13"/>
    <w:rsid w:val="00A17F3E"/>
    <w:pPr>
      <w:shd w:val="clear" w:color="auto" w:fill="FFFFFF"/>
      <w:spacing w:after="300" w:line="0" w:lineRule="atLeast"/>
    </w:pPr>
    <w:rPr>
      <w:sz w:val="16"/>
      <w:szCs w:val="16"/>
    </w:rPr>
  </w:style>
  <w:style w:type="paragraph" w:styleId="BalloonText">
    <w:name w:val="Balloon Text"/>
    <w:basedOn w:val="Normal"/>
    <w:link w:val="BalloonTextChar"/>
    <w:uiPriority w:val="99"/>
    <w:semiHidden/>
    <w:unhideWhenUsed/>
    <w:rsid w:val="00804432"/>
    <w:rPr>
      <w:rFonts w:ascii="Tahoma" w:hAnsi="Tahoma" w:cs="Tahoma"/>
      <w:sz w:val="16"/>
      <w:szCs w:val="16"/>
    </w:rPr>
  </w:style>
  <w:style w:type="character" w:customStyle="1" w:styleId="BalloonTextChar">
    <w:name w:val="Balloon Text Char"/>
    <w:basedOn w:val="DefaultParagraphFont"/>
    <w:link w:val="BalloonText"/>
    <w:uiPriority w:val="99"/>
    <w:semiHidden/>
    <w:rsid w:val="00804432"/>
    <w:rPr>
      <w:rFonts w:ascii="Tahoma" w:hAnsi="Tahoma" w:cs="Tahoma"/>
      <w:color w:val="000000"/>
      <w:sz w:val="16"/>
      <w:szCs w:val="16"/>
    </w:rPr>
  </w:style>
  <w:style w:type="paragraph" w:styleId="Header">
    <w:name w:val="header"/>
    <w:basedOn w:val="Normal"/>
    <w:link w:val="HeaderChar"/>
    <w:uiPriority w:val="99"/>
    <w:semiHidden/>
    <w:unhideWhenUsed/>
    <w:rsid w:val="00866B31"/>
    <w:pPr>
      <w:tabs>
        <w:tab w:val="center" w:pos="4680"/>
        <w:tab w:val="right" w:pos="9360"/>
      </w:tabs>
    </w:pPr>
  </w:style>
  <w:style w:type="character" w:customStyle="1" w:styleId="HeaderChar">
    <w:name w:val="Header Char"/>
    <w:basedOn w:val="DefaultParagraphFont"/>
    <w:link w:val="Header"/>
    <w:uiPriority w:val="99"/>
    <w:semiHidden/>
    <w:rsid w:val="00866B31"/>
    <w:rPr>
      <w:color w:val="000000"/>
    </w:rPr>
  </w:style>
  <w:style w:type="paragraph" w:styleId="Footer">
    <w:name w:val="footer"/>
    <w:basedOn w:val="Normal"/>
    <w:link w:val="FooterChar"/>
    <w:uiPriority w:val="99"/>
    <w:semiHidden/>
    <w:unhideWhenUsed/>
    <w:rsid w:val="00866B31"/>
    <w:pPr>
      <w:tabs>
        <w:tab w:val="center" w:pos="4680"/>
        <w:tab w:val="right" w:pos="9360"/>
      </w:tabs>
    </w:pPr>
  </w:style>
  <w:style w:type="character" w:customStyle="1" w:styleId="FooterChar">
    <w:name w:val="Footer Char"/>
    <w:basedOn w:val="DefaultParagraphFont"/>
    <w:link w:val="Footer"/>
    <w:uiPriority w:val="99"/>
    <w:semiHidden/>
    <w:rsid w:val="00866B31"/>
    <w:rPr>
      <w:color w:val="000000"/>
    </w:rPr>
  </w:style>
  <w:style w:type="character" w:styleId="PlaceholderText">
    <w:name w:val="Placeholder Text"/>
    <w:basedOn w:val="DefaultParagraphFont"/>
    <w:uiPriority w:val="99"/>
    <w:semiHidden/>
    <w:rsid w:val="00D462C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14</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6</cp:revision>
  <dcterms:created xsi:type="dcterms:W3CDTF">2018-01-15T11:44:00Z</dcterms:created>
  <dcterms:modified xsi:type="dcterms:W3CDTF">2018-10-02T07:51:00Z</dcterms:modified>
</cp:coreProperties>
</file>