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A4C" w:rsidRPr="00FB1A4C" w:rsidRDefault="00AA2376" w:rsidP="00FB1A4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FB1A4C">
        <w:rPr>
          <w:rFonts w:ascii="Sylfaen" w:hAnsi="Sylfaen"/>
          <w:sz w:val="24"/>
          <w:szCs w:val="24"/>
        </w:rPr>
        <w:t>ПРИЛОЖЕНИЕ</w:t>
      </w:r>
    </w:p>
    <w:p w:rsidR="00FB1A4C" w:rsidRDefault="00AA2376" w:rsidP="00FB1A4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FB1A4C">
        <w:rPr>
          <w:rFonts w:ascii="Sylfaen" w:hAnsi="Sylfaen"/>
          <w:sz w:val="24"/>
          <w:szCs w:val="24"/>
        </w:rPr>
        <w:t>к Решению Совета</w:t>
      </w:r>
      <w:r w:rsidR="00FB1A4C" w:rsidRP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BA2730" w:rsidRDefault="00AA2376" w:rsidP="00FB1A4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  <w:r w:rsidRPr="00FB1A4C">
        <w:rPr>
          <w:rFonts w:ascii="Sylfaen" w:hAnsi="Sylfaen"/>
          <w:sz w:val="24"/>
          <w:szCs w:val="24"/>
        </w:rPr>
        <w:t>от 9 августа 2016 г. № 60</w:t>
      </w:r>
    </w:p>
    <w:p w:rsidR="00FB1A4C" w:rsidRPr="00FB1A4C" w:rsidRDefault="00FB1A4C" w:rsidP="00FB1A4C">
      <w:pPr>
        <w:pStyle w:val="Bodytext20"/>
        <w:shd w:val="clear" w:color="auto" w:fill="auto"/>
        <w:spacing w:before="0" w:after="120" w:line="240" w:lineRule="auto"/>
        <w:ind w:left="5670" w:right="-8"/>
        <w:jc w:val="center"/>
        <w:rPr>
          <w:rFonts w:ascii="Sylfaen" w:hAnsi="Sylfaen"/>
          <w:sz w:val="24"/>
          <w:szCs w:val="24"/>
          <w:lang w:val="en-US"/>
        </w:rPr>
      </w:pPr>
    </w:p>
    <w:p w:rsidR="00BA2730" w:rsidRPr="00FB1A4C" w:rsidRDefault="00AA2376" w:rsidP="00FB1A4C">
      <w:pPr>
        <w:pStyle w:val="Bodytext30"/>
        <w:shd w:val="clear" w:color="auto" w:fill="auto"/>
        <w:spacing w:line="240" w:lineRule="auto"/>
        <w:ind w:left="1134" w:right="1126"/>
        <w:rPr>
          <w:rFonts w:ascii="Sylfaen" w:hAnsi="Sylfaen"/>
          <w:sz w:val="24"/>
          <w:szCs w:val="24"/>
        </w:rPr>
      </w:pPr>
      <w:r w:rsidRPr="00FB1A4C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ИЗМЕНЕНИЯ,</w:t>
      </w:r>
    </w:p>
    <w:p w:rsidR="00BA2730" w:rsidRPr="00FB1A4C" w:rsidRDefault="00AA2376" w:rsidP="00FB1A4C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вносимые в технический регламент Таможенного союза «О безопасности продукции легкой промышленности»</w:t>
      </w:r>
      <w:r w:rsidR="00FB1A4C" w:rsidRP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(ТР ТС 017/2011)</w:t>
      </w:r>
    </w:p>
    <w:p w:rsidR="00FB1A4C" w:rsidRPr="00FB1A4C" w:rsidRDefault="00FB1A4C" w:rsidP="00FB1A4C">
      <w:pPr>
        <w:pStyle w:val="Bodytext30"/>
        <w:shd w:val="clear" w:color="auto" w:fill="auto"/>
        <w:spacing w:line="240" w:lineRule="auto"/>
        <w:ind w:left="1701" w:right="1693"/>
        <w:rPr>
          <w:rFonts w:ascii="Sylfaen" w:hAnsi="Sylfaen"/>
          <w:sz w:val="24"/>
          <w:szCs w:val="24"/>
        </w:rPr>
      </w:pP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1.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В абзаце втором пункта 3 статьи 6 слова «веществ из материалов» заменить словами «веществ из», слова «внутренние слои обуви» заменить словами «внутренняя поверхность обуви», слова «остальных видов» заменить словами «из остальных видов».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2.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В статье 8: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а)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абзац третий изложить в следующей редакции: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«уровень напряженности электростатического поля на поверхности изделия и содержание свободного формальдегида должны соответствовать требованиям Приложения 2 к настоящему Техническому регламенту;»;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б)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дополнить абзацем следующего содержания: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«- контроль миграции вредных веществ проводится в воздушной или водной среде.».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3.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Предложение второе абзаца восьмого пункта 2 статьи 9 изложить в следующей редакции: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«Процентное содержание исходного сырья указывается в виде нормативного значения с допуском в пределах +/- 5 процентов (кроме нетканых материалов);».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  <w:lang w:eastAsia="en-US" w:bidi="en-US"/>
        </w:rPr>
        <w:t>4.</w:t>
      </w:r>
      <w:r w:rsidR="00FB1A4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B1A4C">
        <w:rPr>
          <w:rFonts w:ascii="Sylfaen" w:hAnsi="Sylfaen"/>
          <w:sz w:val="24"/>
          <w:szCs w:val="24"/>
        </w:rPr>
        <w:t>В статье 11: а) в пункте 3: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в подпункте 3.1 после абзаца девятого дополнить абзацами следующего содержания: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«- белье столовое и кухонное, носовые платки;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-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полотенца, простыни купальные;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-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платочно-шарфовые изделия.»;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абзац двенадцатый изложить в следующей редакции: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 xml:space="preserve">«- по выбору заявителя - в собственной испытательной лаборатории, или в аккредитованной испытательной лаборатории (центре), включенной в Единый реестр органов по сертификации и испытательных лабораторий (центров) </w:t>
      </w:r>
      <w:r w:rsidRPr="00FB1A4C">
        <w:rPr>
          <w:rFonts w:ascii="Sylfaen" w:hAnsi="Sylfaen"/>
          <w:sz w:val="24"/>
          <w:szCs w:val="24"/>
        </w:rPr>
        <w:lastRenderedPageBreak/>
        <w:t>Таможенного союза, или в иной испытательной лаборатории, зарегистрированной в соответствии с законодательством государства - члена Таможенного союза на его территории (схемы 1д, 2д);»;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абзац четвертый подпункта 3.2.1 изложить в следующей редакции: «протоколы испытаний образцов продукции легкой промышленности (типовых образцов продукции), подтверждающие ее соответствие требованиям настоящего Технического регламента (срок действия не более 3 лет), или протоколы испытаний материалов и комплектующих изделий, если выполнение требований безопасности готовой продукции обеспечивается выполнением требований безопасности данных материалов и комплектующих изделий. Испытания в зависимости от схемы декларирования соответствия должны проводиться по выбору заявителя в собственной испытательной лаборатории,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союза, или в иной</w:t>
      </w:r>
      <w:r w:rsidR="00FB1A4C" w:rsidRP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испытательной лаборатории, зарегистрированной в соответствии с законодательством государства - члена Таможенного союза на его территории (схемы 1д, 2д), или в аккредитованной испытательной лаборатории (центре), включенной в Единый реестр органов по сертификации и испытательных лабораторий (центров) Таможенного союза (схемы Зд, 4д, 6д);»;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подпункт 3.4 изложить в следующей редакции: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«3.4. Срок действия декларации о соответствии для продукции легкой промышленности, выпускаемой серийно, составляет не более 5 лет, для партии продукции легкой промышленности срок действия декларации о соответствии не устанавливается.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По желанию заявителя декларирование соответствия по схемам 1д и 2д может быть заменено декларированием соответствия по схемам Зд, 4д, 6д или сертификацией.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По желанию заявителя декларирование соответствия по схемам Зд, 4д, 6д может быть заменено сертификацией.»; б) в пункте 4: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абзац второй изложить в следующей редакции: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«- белье нательное, изделия корсетные, изделия купальные;»; подпункт 4.3 после абзаца второго дополнить абзацем следующего содержания: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«- протоколы испытаний материалов и комплектующих изделий, которые использовались при изготовлении продукции (при наличии);»;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подпункт 4.5 после абзаца четвертого дополнить абзацем следующего содержания: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«- принимает решение о возможности выдачи сертификата или об отказе в его выдаче по итогам рассмотрения результатов испытаний и анализа состояния производства (схема 1с);»;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подпункт 4.6 изложить в следующей редакции: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lastRenderedPageBreak/>
        <w:t>«4.6. Срок действия сертификата соответствия для продукции легкой промышленности, выпускаемой серийно, составляет не более 5 лет, для партии продукции легкой промышленности срок действия сертификата соответствия не устанавливается.».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5.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Примечания к Приложению 2 к указанному техническому регламенту изложить в следующей редакции: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«* Не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B1A4C">
        <w:rPr>
          <w:rFonts w:ascii="Sylfaen" w:hAnsi="Sylfaen"/>
          <w:sz w:val="24"/>
          <w:szCs w:val="24"/>
        </w:rPr>
        <w:t>устанавливается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B1A4C">
        <w:rPr>
          <w:rFonts w:ascii="Sylfaen" w:hAnsi="Sylfaen"/>
          <w:sz w:val="24"/>
          <w:szCs w:val="24"/>
        </w:rPr>
        <w:t>требование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B1A4C">
        <w:rPr>
          <w:rFonts w:ascii="Sylfaen" w:hAnsi="Sylfaen"/>
          <w:sz w:val="24"/>
          <w:szCs w:val="24"/>
        </w:rPr>
        <w:t>по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B1A4C">
        <w:rPr>
          <w:rFonts w:ascii="Sylfaen" w:hAnsi="Sylfaen"/>
          <w:sz w:val="24"/>
          <w:szCs w:val="24"/>
        </w:rPr>
        <w:t>показателю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B1A4C">
        <w:rPr>
          <w:rFonts w:ascii="Sylfaen" w:hAnsi="Sylfaen"/>
          <w:sz w:val="24"/>
          <w:szCs w:val="24"/>
        </w:rPr>
        <w:t>«гигроскопичность» для белья столового и кухонного и одежды первого слоя спортивного назначения (при этом обязательно указание спортивного назначения на маркировке изделий).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** Не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B1A4C">
        <w:rPr>
          <w:rFonts w:ascii="Sylfaen" w:hAnsi="Sylfaen"/>
          <w:sz w:val="24"/>
          <w:szCs w:val="24"/>
        </w:rPr>
        <w:t>устанавливается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B1A4C">
        <w:rPr>
          <w:rFonts w:ascii="Sylfaen" w:hAnsi="Sylfaen"/>
          <w:sz w:val="24"/>
          <w:szCs w:val="24"/>
        </w:rPr>
        <w:t>требование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B1A4C">
        <w:rPr>
          <w:rFonts w:ascii="Sylfaen" w:hAnsi="Sylfaen"/>
          <w:sz w:val="24"/>
          <w:szCs w:val="24"/>
        </w:rPr>
        <w:t>по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B1A4C">
        <w:rPr>
          <w:rFonts w:ascii="Sylfaen" w:hAnsi="Sylfaen"/>
          <w:sz w:val="24"/>
          <w:szCs w:val="24"/>
        </w:rPr>
        <w:t>показателю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FB1A4C">
        <w:rPr>
          <w:rFonts w:ascii="Sylfaen" w:hAnsi="Sylfaen"/>
          <w:sz w:val="24"/>
          <w:szCs w:val="24"/>
        </w:rPr>
        <w:t>«воздухопроницаемость»: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-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для изделий, в которых по конструкции (сарафаны, юбки, жилеты) или по структуре материала (с рыхлым переплетением, ажурные, сетка или аналогичные) предполагается высокая воздухопроницаемость;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-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для изделий, имеющих конструктивные элементы, обеспечивающие воздухообмен;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-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для полукомбинезонов и брюк осенне-зимнего ассортимента;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-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для чулочно-носочных изделий (в том числе зимних), корсетных изделий;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-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для одеял и подушек;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-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для белья столового и кухонного.».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6.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В Приложении 3 к указанному техническому регламенту: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а) в позиции «Поливинилхлоридные»: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слова «Деоктилбензол-1,2-дикарбонат» исключить;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 xml:space="preserve">после слов «Кадмий </w:t>
      </w:r>
      <w:r w:rsidRPr="00FB1A4C">
        <w:rPr>
          <w:rFonts w:ascii="Sylfaen" w:hAnsi="Sylfaen"/>
          <w:sz w:val="24"/>
          <w:szCs w:val="24"/>
          <w:lang w:eastAsia="en-US" w:bidi="en-US"/>
        </w:rPr>
        <w:t>(</w:t>
      </w:r>
      <w:r w:rsidRPr="00FB1A4C">
        <w:rPr>
          <w:rFonts w:ascii="Sylfaen" w:hAnsi="Sylfaen"/>
          <w:sz w:val="24"/>
          <w:szCs w:val="24"/>
          <w:lang w:val="en-US" w:eastAsia="en-US" w:bidi="en-US"/>
        </w:rPr>
        <w:t>Cd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)», </w:t>
      </w:r>
      <w:r w:rsidRPr="00FB1A4C">
        <w:rPr>
          <w:rFonts w:ascii="Sylfaen" w:hAnsi="Sylfaen"/>
          <w:sz w:val="24"/>
          <w:szCs w:val="24"/>
        </w:rPr>
        <w:t xml:space="preserve">«Цинк </w:t>
      </w:r>
      <w:r w:rsidRPr="00FB1A4C">
        <w:rPr>
          <w:rFonts w:ascii="Sylfaen" w:hAnsi="Sylfaen"/>
          <w:sz w:val="24"/>
          <w:szCs w:val="24"/>
          <w:lang w:eastAsia="en-US" w:bidi="en-US"/>
        </w:rPr>
        <w:t>(</w:t>
      </w:r>
      <w:r w:rsidRPr="00FB1A4C">
        <w:rPr>
          <w:rFonts w:ascii="Sylfaen" w:hAnsi="Sylfaen"/>
          <w:sz w:val="24"/>
          <w:szCs w:val="24"/>
          <w:lang w:val="en-US" w:eastAsia="en-US" w:bidi="en-US"/>
        </w:rPr>
        <w:t>Zn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)» </w:t>
      </w:r>
      <w:r w:rsidRPr="00FB1A4C">
        <w:rPr>
          <w:rFonts w:ascii="Sylfaen" w:hAnsi="Sylfaen"/>
          <w:sz w:val="24"/>
          <w:szCs w:val="24"/>
        </w:rPr>
        <w:t>и «Хлорэтэн (винилхлорид)» дополнить знаком «**»;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б)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в позиции «Полиуретановые» после слова «Толуилендиизоцианат» дополнить знаком «**»;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в)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дополнить примечанием со знаком «**» следующего содержания: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t>«**Содержание данного вещества определяется по истечении 12 месяцев со дня вступления в силу решения Коллегии Евразийской экономической комиссии о включении межгосударственных стандартов, содержащих правила и методы исследований (испытаний) и измерений данного вещества, в Перечень документов в области стандартизации,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«О безопасности продукции легкой промышленности» (ТР ТС 017/2011) и осуществления оценки (подтверждения) соответствия продукции, утвержденный Решением Комиссии Таможенного союза от 9 декабря 2011 г. № 876.».</w:t>
      </w:r>
    </w:p>
    <w:p w:rsidR="00BA2730" w:rsidRPr="00FB1A4C" w:rsidRDefault="00AA2376" w:rsidP="00FB1A4C">
      <w:pPr>
        <w:pStyle w:val="Bodytext20"/>
        <w:shd w:val="clear" w:color="auto" w:fill="auto"/>
        <w:spacing w:before="0" w:after="120" w:line="240" w:lineRule="auto"/>
        <w:ind w:firstLine="567"/>
        <w:rPr>
          <w:rFonts w:ascii="Sylfaen" w:hAnsi="Sylfaen"/>
          <w:sz w:val="24"/>
          <w:szCs w:val="24"/>
        </w:rPr>
      </w:pPr>
      <w:r w:rsidRPr="00FB1A4C">
        <w:rPr>
          <w:rFonts w:ascii="Sylfaen" w:hAnsi="Sylfaen"/>
          <w:sz w:val="24"/>
          <w:szCs w:val="24"/>
        </w:rPr>
        <w:lastRenderedPageBreak/>
        <w:t>7.</w:t>
      </w:r>
      <w:r w:rsidR="00FB1A4C">
        <w:rPr>
          <w:rFonts w:ascii="Sylfaen" w:hAnsi="Sylfaen"/>
          <w:sz w:val="24"/>
          <w:szCs w:val="24"/>
        </w:rPr>
        <w:t xml:space="preserve"> </w:t>
      </w:r>
      <w:r w:rsidRPr="00FB1A4C">
        <w:rPr>
          <w:rFonts w:ascii="Sylfaen" w:hAnsi="Sylfaen"/>
          <w:sz w:val="24"/>
          <w:szCs w:val="24"/>
        </w:rPr>
        <w:t>В графе 3 позиции «Одежда и изделия из меха, шкурки меховые выделанные» Приложения 8 к указанному техническому регламенту для показателя свойств «Массовая доля водовымываемого хрома (VI), мг/кг» слова «не менее 3,0» заменить словами</w:t>
      </w:r>
      <w:r w:rsidRPr="00FB1A4C">
        <w:rPr>
          <w:rFonts w:ascii="Sylfaen" w:hAnsi="Sylfaen"/>
          <w:sz w:val="24"/>
          <w:szCs w:val="24"/>
          <w:lang w:eastAsia="en-US" w:bidi="en-US"/>
        </w:rPr>
        <w:t xml:space="preserve"> «</w:t>
      </w:r>
      <w:r w:rsidRPr="00FB1A4C">
        <w:rPr>
          <w:rFonts w:ascii="Sylfaen" w:hAnsi="Sylfaen"/>
          <w:sz w:val="24"/>
          <w:szCs w:val="24"/>
        </w:rPr>
        <w:t>не более 3,0».</w:t>
      </w:r>
    </w:p>
    <w:sectPr w:rsidR="00BA2730" w:rsidRPr="00FB1A4C" w:rsidSect="00FB1A4C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CD3" w:rsidRDefault="00524CD3" w:rsidP="00BA2730">
      <w:r>
        <w:separator/>
      </w:r>
    </w:p>
  </w:endnote>
  <w:endnote w:type="continuationSeparator" w:id="0">
    <w:p w:rsidR="00524CD3" w:rsidRDefault="00524CD3" w:rsidP="00BA2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CD3" w:rsidRDefault="00524CD3"/>
  </w:footnote>
  <w:footnote w:type="continuationSeparator" w:id="0">
    <w:p w:rsidR="00524CD3" w:rsidRDefault="00524C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A2730"/>
    <w:rsid w:val="00524CD3"/>
    <w:rsid w:val="00AA2376"/>
    <w:rsid w:val="00BA2730"/>
    <w:rsid w:val="00CA7FB0"/>
    <w:rsid w:val="00FB1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A273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2730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BA27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BA27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Tablecaption">
    <w:name w:val="Table caption_"/>
    <w:basedOn w:val="DefaultParagraphFont"/>
    <w:link w:val="Tablecaption0"/>
    <w:rsid w:val="00BA27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BA27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BA2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BA2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Bold">
    <w:name w:val="Body text (2) + Bold"/>
    <w:aliases w:val="Spacing 4 pt"/>
    <w:basedOn w:val="Bodytext2"/>
    <w:rsid w:val="00BA27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Spacing2pt">
    <w:name w:val="Body text (2) + Spacing 2 pt"/>
    <w:basedOn w:val="Bodytext2"/>
    <w:rsid w:val="00BA27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BA27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BA2730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BA2730"/>
    <w:pPr>
      <w:shd w:val="clear" w:color="auto" w:fill="FFFFFF"/>
      <w:spacing w:before="120" w:after="9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Tablecaption0">
    <w:name w:val="Table caption"/>
    <w:basedOn w:val="Normal"/>
    <w:link w:val="Tablecaption"/>
    <w:rsid w:val="00BA27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BA2730"/>
    <w:pPr>
      <w:shd w:val="clear" w:color="auto" w:fill="FFFFFF"/>
      <w:spacing w:before="48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character" w:customStyle="1" w:styleId="Bodytext214pt">
    <w:name w:val="Body text (2) + 14 pt"/>
    <w:aliases w:val="Bold,Spacing 2 pt,Body text (2) + 13 pt"/>
    <w:basedOn w:val="Bodytext2"/>
    <w:rsid w:val="00FB1A4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966</Words>
  <Characters>5508</Characters>
  <Application>Microsoft Office Word</Application>
  <DocSecurity>0</DocSecurity>
  <Lines>45</Lines>
  <Paragraphs>12</Paragraphs>
  <ScaleCrop>false</ScaleCrop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Hayk Engoyan</cp:lastModifiedBy>
  <cp:revision>3</cp:revision>
  <dcterms:created xsi:type="dcterms:W3CDTF">2017-03-15T14:34:00Z</dcterms:created>
  <dcterms:modified xsi:type="dcterms:W3CDTF">2017-11-09T08:29:00Z</dcterms:modified>
</cp:coreProperties>
</file>