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30" w:rsidRDefault="006E7230" w:rsidP="006E7230">
      <w:pPr>
        <w:pStyle w:val="Bodytext20"/>
        <w:shd w:val="clear" w:color="auto" w:fill="auto"/>
        <w:spacing w:before="0" w:after="120" w:line="240" w:lineRule="auto"/>
        <w:ind w:left="10348" w:right="-3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6E7230">
        <w:rPr>
          <w:rFonts w:ascii="Sylfaen" w:hAnsi="Sylfaen"/>
          <w:sz w:val="24"/>
          <w:szCs w:val="24"/>
        </w:rPr>
        <w:t>ПРИЛОЖЕНИЕ</w:t>
      </w:r>
    </w:p>
    <w:p w:rsidR="006E7230" w:rsidRDefault="006E7230" w:rsidP="006E7230">
      <w:pPr>
        <w:pStyle w:val="Bodytext20"/>
        <w:shd w:val="clear" w:color="auto" w:fill="auto"/>
        <w:spacing w:before="0" w:after="120" w:line="240" w:lineRule="auto"/>
        <w:ind w:left="10348" w:right="-30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8046E4" w:rsidRDefault="006E7230" w:rsidP="006E7230">
      <w:pPr>
        <w:pStyle w:val="Bodytext20"/>
        <w:shd w:val="clear" w:color="auto" w:fill="auto"/>
        <w:spacing w:before="0" w:after="120" w:line="240" w:lineRule="auto"/>
        <w:ind w:left="10348" w:right="-30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t>от 12 февраля 2016 г. № 43</w:t>
      </w:r>
    </w:p>
    <w:p w:rsidR="006E7230" w:rsidRPr="006E7230" w:rsidRDefault="006E7230" w:rsidP="006E7230">
      <w:pPr>
        <w:pStyle w:val="Bodytext20"/>
        <w:shd w:val="clear" w:color="auto" w:fill="auto"/>
        <w:spacing w:before="0" w:after="120" w:line="240" w:lineRule="auto"/>
        <w:ind w:left="10348" w:right="-30"/>
        <w:jc w:val="center"/>
        <w:rPr>
          <w:rFonts w:ascii="Sylfaen" w:hAnsi="Sylfaen"/>
          <w:sz w:val="24"/>
          <w:szCs w:val="24"/>
          <w:lang w:val="en-US"/>
        </w:rPr>
      </w:pPr>
    </w:p>
    <w:p w:rsidR="008046E4" w:rsidRPr="006E7230" w:rsidRDefault="006E7230" w:rsidP="006E7230">
      <w:pPr>
        <w:pStyle w:val="Bodytext30"/>
        <w:shd w:val="clear" w:color="auto" w:fill="auto"/>
        <w:spacing w:line="240" w:lineRule="auto"/>
        <w:ind w:left="3119" w:right="2664"/>
        <w:rPr>
          <w:rFonts w:ascii="Sylfaen" w:hAnsi="Sylfaen"/>
          <w:sz w:val="24"/>
          <w:szCs w:val="24"/>
        </w:rPr>
      </w:pPr>
      <w:r w:rsidRPr="006E723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8046E4" w:rsidRDefault="006E7230" w:rsidP="006E7230">
      <w:pPr>
        <w:pStyle w:val="Bodytext30"/>
        <w:shd w:val="clear" w:color="auto" w:fill="auto"/>
        <w:spacing w:line="240" w:lineRule="auto"/>
        <w:ind w:left="3402" w:right="3231"/>
        <w:rPr>
          <w:rFonts w:ascii="Sylfaen" w:hAnsi="Sylfaen"/>
          <w:sz w:val="24"/>
          <w:szCs w:val="24"/>
          <w:vertAlign w:val="superscript"/>
          <w:lang w:val="en-US"/>
        </w:rPr>
      </w:pPr>
      <w:r w:rsidRPr="006E7230">
        <w:rPr>
          <w:rFonts w:ascii="Sylfaen" w:hAnsi="Sylfaen"/>
          <w:sz w:val="24"/>
          <w:szCs w:val="24"/>
        </w:rPr>
        <w:t xml:space="preserve">вносимые в Решение Совета Евразийской экономической комиссии от 1 октября 2014 г. № 79 </w:t>
      </w:r>
      <w:r w:rsidRPr="006E7230">
        <w:rPr>
          <w:rFonts w:ascii="Sylfaen" w:hAnsi="Sylfaen"/>
          <w:sz w:val="24"/>
          <w:szCs w:val="24"/>
          <w:vertAlign w:val="superscript"/>
        </w:rPr>
        <w:t>1 2 3 4</w:t>
      </w:r>
    </w:p>
    <w:p w:rsidR="006E7230" w:rsidRPr="006E7230" w:rsidRDefault="006E7230" w:rsidP="006E7230">
      <w:pPr>
        <w:pStyle w:val="Bodytext30"/>
        <w:shd w:val="clear" w:color="auto" w:fill="auto"/>
        <w:spacing w:line="240" w:lineRule="auto"/>
        <w:ind w:left="3402" w:right="3231"/>
        <w:rPr>
          <w:rFonts w:ascii="Sylfaen" w:hAnsi="Sylfaen"/>
          <w:sz w:val="24"/>
          <w:szCs w:val="24"/>
          <w:lang w:val="en-US"/>
        </w:rPr>
      </w:pPr>
    </w:p>
    <w:p w:rsidR="008046E4" w:rsidRPr="006E7230" w:rsidRDefault="006E7230" w:rsidP="006E7230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1. В наименовании слова «регламентов Таможенного союза» заменить словами «регламентов Евразийского экономического союза».</w:t>
      </w:r>
    </w:p>
    <w:p w:rsidR="008046E4" w:rsidRPr="006E7230" w:rsidRDefault="006E7230" w:rsidP="006E7230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2. Преамбулу после слов «2010 года» дополнить словами «, действовавших до вступления в силу Договора о Евразийском экономическом союзе от 29 мая 2014 года,».</w:t>
      </w:r>
    </w:p>
    <w:p w:rsidR="008046E4" w:rsidRPr="006E7230" w:rsidRDefault="006E7230" w:rsidP="006E7230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3. В пункте 1 слова «регламентов Таможенного союза» заменить словами «регламентов Евразийского экономического союза».</w:t>
      </w:r>
    </w:p>
    <w:p w:rsidR="008046E4" w:rsidRPr="006E7230" w:rsidRDefault="006E7230" w:rsidP="006E7230">
      <w:pPr>
        <w:pStyle w:val="Footnote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4. План разработки технических регламентов Таможенного союза и внесения изменений в технические регламенты Таможенного союза, утвержденный указанным Решением, изложить в следующей редакции:</w:t>
      </w:r>
    </w:p>
    <w:p w:rsidR="006E7230" w:rsidRDefault="006E7230">
      <w:r>
        <w:br w:type="page"/>
      </w:r>
    </w:p>
    <w:p w:rsidR="006E7230" w:rsidRDefault="006E7230" w:rsidP="006E7230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lastRenderedPageBreak/>
        <w:t>«УТВЕРЖДЕН</w:t>
      </w:r>
    </w:p>
    <w:p w:rsidR="006E7230" w:rsidRDefault="006E7230" w:rsidP="006E7230">
      <w:pPr>
        <w:pStyle w:val="Bodytext20"/>
        <w:shd w:val="clear" w:color="auto" w:fill="auto"/>
        <w:spacing w:before="0" w:line="240" w:lineRule="auto"/>
        <w:ind w:left="9639" w:right="-28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6E7230" w:rsidRDefault="006E7230" w:rsidP="006E7230">
      <w:pPr>
        <w:pStyle w:val="Bodytext20"/>
        <w:shd w:val="clear" w:color="auto" w:fill="auto"/>
        <w:spacing w:before="0" w:line="240" w:lineRule="auto"/>
        <w:ind w:left="9639" w:right="-28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t>от 1 октября 2014 г. № 79</w:t>
      </w:r>
    </w:p>
    <w:p w:rsidR="006E7230" w:rsidRPr="006E7230" w:rsidRDefault="006E7230" w:rsidP="006E7230">
      <w:pPr>
        <w:pStyle w:val="Bodytext20"/>
        <w:shd w:val="clear" w:color="auto" w:fill="auto"/>
        <w:spacing w:before="0" w:line="240" w:lineRule="auto"/>
        <w:ind w:left="9639" w:right="-28"/>
        <w:jc w:val="center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(в редакции Решения Совета Евразийской экономической комиссии</w:t>
      </w:r>
    </w:p>
    <w:p w:rsidR="008046E4" w:rsidRDefault="006E7230" w:rsidP="006E7230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  <w:lang w:val="en-US"/>
        </w:rPr>
      </w:pPr>
      <w:r w:rsidRPr="006E7230">
        <w:rPr>
          <w:rFonts w:ascii="Sylfaen" w:hAnsi="Sylfaen"/>
          <w:sz w:val="24"/>
          <w:szCs w:val="24"/>
        </w:rPr>
        <w:t>от 12 февраля 2016 г. № 43)</w:t>
      </w:r>
    </w:p>
    <w:p w:rsidR="006E7230" w:rsidRPr="006E7230" w:rsidRDefault="006E7230" w:rsidP="006E7230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/>
          <w:sz w:val="24"/>
          <w:szCs w:val="24"/>
          <w:lang w:val="en-US"/>
        </w:rPr>
      </w:pPr>
    </w:p>
    <w:p w:rsidR="008046E4" w:rsidRPr="006E7230" w:rsidRDefault="006E7230" w:rsidP="00D2706D">
      <w:pPr>
        <w:pStyle w:val="Heading20"/>
        <w:shd w:val="clear" w:color="auto" w:fill="auto"/>
        <w:spacing w:before="0" w:after="120" w:line="240" w:lineRule="auto"/>
        <w:ind w:left="2694" w:right="2805"/>
        <w:rPr>
          <w:rFonts w:ascii="Sylfaen" w:hAnsi="Sylfaen"/>
          <w:sz w:val="24"/>
          <w:szCs w:val="24"/>
        </w:rPr>
      </w:pPr>
      <w:r w:rsidRPr="006E7230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8046E4" w:rsidRPr="00D2706D" w:rsidRDefault="006E7230" w:rsidP="00D2706D">
      <w:pPr>
        <w:pStyle w:val="Bodytext30"/>
        <w:shd w:val="clear" w:color="auto" w:fill="auto"/>
        <w:spacing w:line="240" w:lineRule="auto"/>
        <w:ind w:left="2694" w:right="2805"/>
        <w:rPr>
          <w:rFonts w:ascii="Sylfaen" w:hAnsi="Sylfaen"/>
          <w:sz w:val="24"/>
          <w:szCs w:val="24"/>
        </w:rPr>
      </w:pPr>
      <w:r w:rsidRPr="006E7230">
        <w:rPr>
          <w:rFonts w:ascii="Sylfaen" w:hAnsi="Sylfaen"/>
          <w:sz w:val="24"/>
          <w:szCs w:val="24"/>
        </w:rPr>
        <w:t>разработки технических регламентов Евразийского экономического союза</w:t>
      </w:r>
      <w:r w:rsidR="00D2706D" w:rsidRPr="00D2706D">
        <w:rPr>
          <w:rFonts w:ascii="Sylfaen" w:hAnsi="Sylfaen"/>
          <w:sz w:val="24"/>
          <w:szCs w:val="24"/>
        </w:rPr>
        <w:t xml:space="preserve"> </w:t>
      </w:r>
      <w:r w:rsidRPr="006E7230">
        <w:rPr>
          <w:rFonts w:ascii="Sylfaen" w:hAnsi="Sylfaen"/>
          <w:sz w:val="24"/>
          <w:szCs w:val="24"/>
        </w:rPr>
        <w:t>и внесения изменений в технические регламенты Таможенного союза</w:t>
      </w:r>
    </w:p>
    <w:p w:rsidR="00D2706D" w:rsidRPr="00D2706D" w:rsidRDefault="00D2706D" w:rsidP="006E7230">
      <w:pPr>
        <w:pStyle w:val="Bodytext30"/>
        <w:shd w:val="clear" w:color="auto" w:fill="auto"/>
        <w:spacing w:line="240" w:lineRule="auto"/>
        <w:ind w:left="240"/>
        <w:rPr>
          <w:rFonts w:ascii="Sylfaen" w:hAnsi="Sylfaen"/>
          <w:sz w:val="24"/>
          <w:szCs w:val="24"/>
        </w:rPr>
      </w:pP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6"/>
        <w:gridCol w:w="12"/>
        <w:gridCol w:w="6"/>
        <w:gridCol w:w="2118"/>
        <w:gridCol w:w="2410"/>
        <w:gridCol w:w="2439"/>
        <w:gridCol w:w="38"/>
        <w:gridCol w:w="1925"/>
      </w:tblGrid>
      <w:tr w:rsidR="00D2706D" w:rsidRPr="006E7230" w:rsidTr="00D2706D">
        <w:trPr>
          <w:tblHeader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6E7230" w:rsidRDefault="006E7230" w:rsidP="00835E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Наименование технического регламента Евразийского экономического союза (технического регламента Таможенного союза)</w:t>
            </w:r>
            <w:r w:rsidR="00835E4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6E7230" w:rsidRDefault="006E7230" w:rsidP="00D2706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Ответственный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6E7230" w:rsidRDefault="006E7230" w:rsidP="00D2706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Соразработчики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6E7230" w:rsidRDefault="006E7230" w:rsidP="00835E4B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Информация о сроке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представления</w:t>
            </w:r>
            <w:r w:rsidR="00835E4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6E4" w:rsidRPr="00835E4B" w:rsidRDefault="006E7230" w:rsidP="00D2706D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Номер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позиции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Единого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перечня</w:t>
            </w:r>
            <w:r w:rsidR="00835E4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</w:p>
        </w:tc>
      </w:tr>
      <w:tr w:rsidR="008046E4" w:rsidRPr="006E7230" w:rsidTr="00D2706D">
        <w:tc>
          <w:tcPr>
            <w:tcW w:w="1489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I. Разработка технических регламентов Евразийского экономического союза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 О безопасности алкогольной продукции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 - члены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Евразийского экономического союза (далее - государства-члены)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835E4B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2014 г.</w:t>
            </w:r>
            <w:r w:rsidR="00835E4B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54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2. О требованиях к минеральным удобрениям</w:t>
            </w:r>
          </w:p>
        </w:tc>
        <w:tc>
          <w:tcPr>
            <w:tcW w:w="2125" w:type="dxa"/>
            <w:gridSpan w:val="2"/>
            <w:shd w:val="clear" w:color="auto" w:fill="FFFFFF"/>
            <w:vAlign w:val="bottom"/>
          </w:tcPr>
          <w:p w:rsidR="00D2706D" w:rsidRPr="00D2706D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  <w:r w:rsidR="00D2706D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47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3. Об информировании потребителя об энергетической эффективности электрических энергопотребляющих устройств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4. О безопасности рыбы и рыбной продукции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5. Требования к сжиженным углеводородным газам для использования в качестве топлива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61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6. О безопасности аттракционов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7. О безопасности зданий и сооружений, строительных материалов и изделий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2015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21,22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8.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9. О безопасности упакованной питьевой воды, включая природные минеральные воды</w:t>
            </w:r>
          </w:p>
        </w:tc>
        <w:tc>
          <w:tcPr>
            <w:tcW w:w="2125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10. О безопасности оборудования для детских игровых площадок</w:t>
            </w:r>
          </w:p>
        </w:tc>
        <w:tc>
          <w:tcPr>
            <w:tcW w:w="2136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60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11.О требованиях к энергетической эффективности электрических энергопотребляющих устройств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12. О безопасности кормов и кормовых добавок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55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13.О безопасности мяса птицы и продукции ее переработки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14. О безопасности продукции, предназначенной для защиты населения при чрезвычайных ситуациях природного и техногенного характера</w:t>
            </w:r>
          </w:p>
        </w:tc>
        <w:tc>
          <w:tcPr>
            <w:tcW w:w="2136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63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15. О безопасности продукции, предназначенной для гражданской обороны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63</w:t>
            </w:r>
          </w:p>
        </w:tc>
      </w:tr>
      <w:tr w:rsidR="00D2706D" w:rsidRPr="006E7230" w:rsidTr="00D2706D">
        <w:tc>
          <w:tcPr>
            <w:tcW w:w="5947" w:type="dxa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16. О требованиях к средствам обеспечения пожарной безопасности и пожаротушения</w:t>
            </w:r>
          </w:p>
        </w:tc>
        <w:tc>
          <w:tcPr>
            <w:tcW w:w="2136" w:type="dxa"/>
            <w:gridSpan w:val="3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40" w:type="dxa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60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38,39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17. Требования к углям и продуктам их переработки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60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18. О безопасности материалов, контактирующих с пищевой продукцией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1,2, 32,36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19. О безопасности нефти, подготовленной к транспортировке и (или) использованию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64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20.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65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21.О требованиях к магистральным трубопроводам для транспортирования жидких и газообразных углеводородов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66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22. О безопасности высоковольтного оборудования</w:t>
            </w:r>
          </w:p>
        </w:tc>
        <w:tc>
          <w:tcPr>
            <w:tcW w:w="2125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2017 г.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8046E4" w:rsidRPr="006E7230" w:rsidTr="00D2706D">
        <w:tc>
          <w:tcPr>
            <w:tcW w:w="14894" w:type="dxa"/>
            <w:gridSpan w:val="8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II. Внесение изменений в технические регламенты Таможенного союза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1. О безопасности машин и оборудования (ТР ТС 010/2011) (изменения № 1 в части устранения неопределенности в отношении форм подтверждения соответствия групп технологического оборудования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для предприятий торговли, общественного питания и пищеблоков и технической неточности (пункт 5 статьи 1))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2014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2. О безопасности упаковки (ТР ТС 005/2011)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 квартал 2015 г.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36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3. О безопасности зерна (ТР ТС 015/2011) (изменения № 2 в части исключения разночтений в технических регламентах Таможенного союза для масличной культуры «рапс»)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56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4. О безопасности продукции легкой промышленности (ТР ТС 017/2011) (изменения № 2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28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5. О безопасности продукции, предназначенной для детей и подростков (ТР ТС 007/2011)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6. Пищевая продукция в части ее маркировки (ТР ТС 022/2011) (изменения № 1 в части уточнения терминов «легкочитаемость», «понятность», «контрастность фона»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и других требований)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7. О безопасности пищевой продукции (ТР ТС 021/2011) (изменения № 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 эпидемиологическому надзору (контролю))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8. 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9. О безопасности молока и молочной продукции (ТР ТС 033/2013) (изменения № 1 в части отнесения восстановленного молока к молочной продукции)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10. О безопасности колесных транспортных средств (ТР ТС 018/2011) (изменения № 2 в части установления требований к санитарному транспорту, корректировки отдельных положений по результатам реализации аналогичных требований, предусмотренных законодательством государств-членов, а также в связи с передачей транспортных средств для использования в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целях ликвидации чрезвычайных ситуаций и последствий стихийных бедствий в соответствии с законодательством государств-членов)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11.О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12. О безопасности игрушек (ТР ТС 008/2011)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29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13. 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D2706D" w:rsidRPr="00D2706D" w:rsidRDefault="006E7230" w:rsidP="00D2706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14. О безопасности парфюмернокосметической продукции (ТР ТС 009/2011) (изменения № 2 в части включения терминов «парфюмерно-косметическая продукция для искусственного загара» и «продавец», актуализации требований в отношении водородного показателя косметической продукции pH, актуализации значений и устранения технических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ошибок в приложениях 1 - 5)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34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15. 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 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54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16. О безопасности оборудования, работающего под избыточным давлением (ТР ТС 032/2013) 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17. О безопасности пищевой продукции (ТР ТС 021/2011) (изменения № 3 в части установления дополнительных требований к шоколаду, шоколадным изделиям и какао-продуктам)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18. О безопасности низковольтного оборудования (ТР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ТС 004/2011)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19. О безопасности средств индивидуальной защиты (ТР ТС 019/2011) (изменения № 1 в части уточнения области применения технического регламента и уточнения требований к отдельным объектам технического регулирования)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37</w:t>
            </w:r>
          </w:p>
        </w:tc>
      </w:tr>
      <w:tr w:rsidR="00D2706D" w:rsidRPr="006E7230" w:rsidTr="00D2706D">
        <w:tc>
          <w:tcPr>
            <w:tcW w:w="5958" w:type="dxa"/>
            <w:gridSpan w:val="2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20. О безопасности оборудования, работающего под избыточным давлением (ТР ТС 032/2013) (изменения № 2 в части исключения технологических трубопроводов из области применения технического регламента)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21. Электромагнитная совместимость технических средств (ТР ТС 020/2011)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22. Пищевая продукция в части ее маркировки (ТР ТС 022/2011) (изменения № 2 в части, касающейся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сведений о получении пищевой продукции с применением генно-инженерно- модифицированных организмов или о содержании таких организмов)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23. 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ЕЭК ООН)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24. О безопасности железнодорожного подвижного состава (ТР ТС 001/2011),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«инновационная продукция»,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15,23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center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25. О безопасности игрушек (ТР ТС 008/2011) (изменения № 2 в части установления требований психологопедагогической безопасности игрушек)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Республика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29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26. 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6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27. О безопасности пищевой продукции (ТР ТС 021/2011) (изменения № 4 в части исключения специальных требований к биологически активным добавкам к пище), 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22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 xml:space="preserve">28. Технический регламент на масложировую продукцию (ТР ТС 024/2011) (изменения № 2 в части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уточнения отдельных положений технического регламента, в том числе касающихся транспортировки растительных масел)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7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2017 г.</w:t>
            </w:r>
          </w:p>
        </w:tc>
        <w:tc>
          <w:tcPr>
            <w:tcW w:w="1922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29. 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2017 г.</w:t>
            </w:r>
          </w:p>
        </w:tc>
        <w:tc>
          <w:tcPr>
            <w:tcW w:w="1922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D2706D" w:rsidRPr="006E7230" w:rsidTr="00D2706D">
        <w:tc>
          <w:tcPr>
            <w:tcW w:w="5964" w:type="dxa"/>
            <w:gridSpan w:val="3"/>
            <w:shd w:val="clear" w:color="auto" w:fill="FFFFFF"/>
            <w:vAlign w:val="bottom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30. 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</w:tc>
        <w:tc>
          <w:tcPr>
            <w:tcW w:w="2119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Российская</w:t>
            </w:r>
            <w:r w:rsidR="00D2706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11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78" w:type="dxa"/>
            <w:gridSpan w:val="2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II квартал 2017 г.</w:t>
            </w:r>
          </w:p>
        </w:tc>
        <w:tc>
          <w:tcPr>
            <w:tcW w:w="1922" w:type="dxa"/>
            <w:shd w:val="clear" w:color="auto" w:fill="FFFFFF"/>
          </w:tcPr>
          <w:p w:rsidR="008046E4" w:rsidRPr="006E7230" w:rsidRDefault="006E7230" w:rsidP="006E723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E7230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</w:tbl>
    <w:p w:rsidR="008046E4" w:rsidRPr="006E7230" w:rsidRDefault="008046E4" w:rsidP="00835E4B">
      <w:pPr>
        <w:pStyle w:val="Tablecaption0"/>
        <w:shd w:val="clear" w:color="auto" w:fill="auto"/>
        <w:spacing w:after="120" w:line="240" w:lineRule="auto"/>
        <w:ind w:right="460"/>
      </w:pPr>
    </w:p>
    <w:sectPr w:rsidR="008046E4" w:rsidRPr="006E7230" w:rsidSect="006E7230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7F" w:rsidRDefault="00826D7F" w:rsidP="008046E4">
      <w:r>
        <w:separator/>
      </w:r>
    </w:p>
  </w:endnote>
  <w:endnote w:type="continuationSeparator" w:id="0">
    <w:p w:rsidR="00826D7F" w:rsidRDefault="00826D7F" w:rsidP="0080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7F" w:rsidRDefault="00826D7F">
      <w:r>
        <w:separator/>
      </w:r>
    </w:p>
  </w:footnote>
  <w:footnote w:type="continuationSeparator" w:id="0">
    <w:p w:rsidR="00826D7F" w:rsidRDefault="00826D7F">
      <w:r>
        <w:continuationSeparator/>
      </w:r>
    </w:p>
  </w:footnote>
  <w:footnote w:id="1">
    <w:p w:rsidR="00835E4B" w:rsidRPr="00835E4B" w:rsidRDefault="00835E4B">
      <w:pPr>
        <w:pStyle w:val="FootnoteText"/>
      </w:pPr>
      <w:r w:rsidRPr="00835E4B">
        <w:rPr>
          <w:rStyle w:val="FootnoteReference"/>
        </w:rPr>
        <w:footnoteRef/>
      </w:r>
      <w:r w:rsidRPr="00835E4B">
        <w:t xml:space="preserve"> Наименования технических регламентов Евразийского экономического союза, предусмотренных разделом I настоящего плана, а также предмет изменений, предусмотренных разделом II настоящего плана, могут быть изменены в процессе их разработки.</w:t>
      </w:r>
    </w:p>
  </w:footnote>
  <w:footnote w:id="2">
    <w:p w:rsidR="00835E4B" w:rsidRPr="00835E4B" w:rsidRDefault="00835E4B">
      <w:pPr>
        <w:pStyle w:val="FootnoteText"/>
      </w:pPr>
      <w:r w:rsidRPr="00835E4B">
        <w:rPr>
          <w:rStyle w:val="FootnoteReference"/>
        </w:rPr>
        <w:footnoteRef/>
      </w:r>
      <w:r w:rsidRPr="00835E4B">
        <w:t xml:space="preserve"> Представление в Евразийскую экономическую комиссию решений государств-членов по итогам внутригосударственного согласования проекта технического регламента Евразийского экономического союза в соответствии с пунктом 15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48.</w:t>
      </w:r>
    </w:p>
  </w:footnote>
  <w:footnote w:id="3">
    <w:p w:rsidR="00835E4B" w:rsidRPr="00835E4B" w:rsidRDefault="00835E4B">
      <w:pPr>
        <w:pStyle w:val="FootnoteText"/>
      </w:pPr>
      <w:r w:rsidRPr="00835E4B">
        <w:rPr>
          <w:rStyle w:val="FootnoteReference"/>
        </w:rPr>
        <w:footnoteRef/>
      </w:r>
      <w:r w:rsidRPr="00835E4B">
        <w:t xml:space="preserve">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</w:footnote>
  <w:footnote w:id="4">
    <w:p w:rsidR="00835E4B" w:rsidRPr="00835E4B" w:rsidRDefault="00835E4B">
      <w:pPr>
        <w:pStyle w:val="FootnoteText"/>
      </w:pPr>
      <w:r w:rsidRPr="00835E4B">
        <w:rPr>
          <w:rStyle w:val="FootnoteReference"/>
        </w:rPr>
        <w:footnoteRef/>
      </w:r>
      <w:r w:rsidRPr="00835E4B">
        <w:t xml:space="preserve"> Решения государств-членов по итогам внутригосударственного согласования проекта технического регламента Евразийского экономического союза представлены в Евразийскую экономическую комиссию в соответствии с пунктом 15 Положения о порядке разработки, принятия, внесения изменений </w:t>
      </w:r>
      <w:r w:rsidRPr="00835E4B">
        <w:t>и отмены технического пегламента Таможенного союза, утвержденного Решением Совета Евразийской экономической комиссии от 20 июня 2012 г. № 48.».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E4"/>
    <w:rsid w:val="00331453"/>
    <w:rsid w:val="006E7230"/>
    <w:rsid w:val="008046E4"/>
    <w:rsid w:val="00826D7F"/>
    <w:rsid w:val="00835E4B"/>
    <w:rsid w:val="00D2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6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46E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2">
    <w:name w:val="Footnote (2)_"/>
    <w:basedOn w:val="DefaultParagraphFont"/>
    <w:link w:val="Footnote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8046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046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04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046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8046E4"/>
    <w:pPr>
      <w:shd w:val="clear" w:color="auto" w:fill="FFFFFF"/>
      <w:spacing w:line="51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046E4"/>
    <w:pPr>
      <w:shd w:val="clear" w:color="auto" w:fill="FFFFFF"/>
      <w:spacing w:before="3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46E4"/>
    <w:pPr>
      <w:shd w:val="clear" w:color="auto" w:fill="FFFFFF"/>
      <w:spacing w:line="277" w:lineRule="exact"/>
      <w:ind w:firstLine="260"/>
    </w:pPr>
    <w:rPr>
      <w:rFonts w:ascii="Times New Roman" w:eastAsia="Times New Roman" w:hAnsi="Times New Roman" w:cs="Times New Roman"/>
    </w:rPr>
  </w:style>
  <w:style w:type="paragraph" w:customStyle="1" w:styleId="Footnote20">
    <w:name w:val="Footnote (2)"/>
    <w:basedOn w:val="Normal"/>
    <w:link w:val="Footnote2"/>
    <w:rsid w:val="008046E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8046E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Bodytext214pt">
    <w:name w:val="Body text (2) + 14 pt"/>
    <w:aliases w:val="Bold,Spacing 2 pt,Body text (2) + 13 pt"/>
    <w:basedOn w:val="Bodytext2"/>
    <w:rsid w:val="006E7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E4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E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6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46E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2">
    <w:name w:val="Footnote (2)_"/>
    <w:basedOn w:val="DefaultParagraphFont"/>
    <w:link w:val="Footnote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8046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046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04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046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8046E4"/>
    <w:pPr>
      <w:shd w:val="clear" w:color="auto" w:fill="FFFFFF"/>
      <w:spacing w:line="51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046E4"/>
    <w:pPr>
      <w:shd w:val="clear" w:color="auto" w:fill="FFFFFF"/>
      <w:spacing w:before="3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46E4"/>
    <w:pPr>
      <w:shd w:val="clear" w:color="auto" w:fill="FFFFFF"/>
      <w:spacing w:line="277" w:lineRule="exact"/>
      <w:ind w:firstLine="260"/>
    </w:pPr>
    <w:rPr>
      <w:rFonts w:ascii="Times New Roman" w:eastAsia="Times New Roman" w:hAnsi="Times New Roman" w:cs="Times New Roman"/>
    </w:rPr>
  </w:style>
  <w:style w:type="paragraph" w:customStyle="1" w:styleId="Footnote20">
    <w:name w:val="Footnote (2)"/>
    <w:basedOn w:val="Normal"/>
    <w:link w:val="Footnote2"/>
    <w:rsid w:val="008046E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8046E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Bodytext214pt">
    <w:name w:val="Body text (2) + 14 pt"/>
    <w:aliases w:val="Bold,Spacing 2 pt,Body text (2) + 13 pt"/>
    <w:basedOn w:val="Bodytext2"/>
    <w:rsid w:val="006E7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E4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9FC0-B59A-401B-A734-3EEE3F5D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2017-11-07T05:50:00Z</dcterms:created>
  <dcterms:modified xsi:type="dcterms:W3CDTF">2017-11-07T05:50:00Z</dcterms:modified>
</cp:coreProperties>
</file>