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5C" w:rsidRPr="000065A5" w:rsidRDefault="000065A5" w:rsidP="00B84DBA">
      <w:pPr>
        <w:pStyle w:val="Bodytext120"/>
        <w:shd w:val="clear" w:color="auto" w:fill="auto"/>
        <w:spacing w:before="0" w:after="120" w:line="240" w:lineRule="auto"/>
        <w:ind w:left="9214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065A5">
        <w:rPr>
          <w:rFonts w:ascii="Sylfaen" w:hAnsi="Sylfaen"/>
          <w:sz w:val="24"/>
          <w:szCs w:val="24"/>
        </w:rPr>
        <w:t>ПРИЛОЖЕНИЕ</w:t>
      </w:r>
    </w:p>
    <w:p w:rsidR="0005285C" w:rsidRPr="000065A5" w:rsidRDefault="000065A5" w:rsidP="00B84DBA">
      <w:pPr>
        <w:pStyle w:val="Bodytext120"/>
        <w:shd w:val="clear" w:color="auto" w:fill="auto"/>
        <w:spacing w:before="0" w:after="120" w:line="240" w:lineRule="auto"/>
        <w:ind w:left="9214" w:right="-30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к Решению Коллегии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5285C" w:rsidRPr="000065A5" w:rsidRDefault="000065A5" w:rsidP="00B84DBA">
      <w:pPr>
        <w:pStyle w:val="Bodytext120"/>
        <w:shd w:val="clear" w:color="auto" w:fill="auto"/>
        <w:spacing w:before="0" w:after="120" w:line="240" w:lineRule="auto"/>
        <w:ind w:left="9214" w:right="-30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от 7 ноября 2017 г. № 136</w:t>
      </w:r>
    </w:p>
    <w:p w:rsidR="00E76CBF" w:rsidRPr="008C0530" w:rsidRDefault="00E76CBF" w:rsidP="00E76CBF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1" w:name="bookmark2"/>
    </w:p>
    <w:p w:rsidR="0005285C" w:rsidRPr="000065A5" w:rsidRDefault="000065A5" w:rsidP="00E76CBF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ИЗМЕНЕНИЯ,</w:t>
      </w:r>
      <w:bookmarkEnd w:id="1"/>
    </w:p>
    <w:p w:rsidR="0005285C" w:rsidRPr="008C0530" w:rsidRDefault="000065A5" w:rsidP="00E76CBF">
      <w:pPr>
        <w:pStyle w:val="Bodytext11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 от 18 октября 2012 г. № 189</w:t>
      </w:r>
    </w:p>
    <w:p w:rsidR="00E76CBF" w:rsidRPr="008C0530" w:rsidRDefault="00E76CBF" w:rsidP="00E76CBF">
      <w:pPr>
        <w:pStyle w:val="Bodytext11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05285C" w:rsidRPr="000065A5" w:rsidRDefault="000065A5" w:rsidP="00E76CBF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  <w:lang w:eastAsia="en-US" w:bidi="en-US"/>
        </w:rPr>
        <w:t>1.</w:t>
      </w:r>
      <w:r w:rsidR="00DE680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065A5">
        <w:rPr>
          <w:rFonts w:ascii="Sylfaen" w:hAnsi="Sylfaen"/>
          <w:sz w:val="24"/>
          <w:szCs w:val="24"/>
        </w:rPr>
        <w:t>В подпункте 1Л слова «документов в области стандартизации» заменить словом «стандартов».</w:t>
      </w:r>
    </w:p>
    <w:p w:rsidR="0005285C" w:rsidRPr="000065A5" w:rsidRDefault="000065A5" w:rsidP="00E76CBF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  <w:lang w:eastAsia="en-US" w:bidi="en-US"/>
        </w:rPr>
        <w:t>2.</w:t>
      </w:r>
      <w:r w:rsidR="00DE680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065A5">
        <w:rPr>
          <w:rFonts w:ascii="Sylfaen" w:hAnsi="Sylfaen"/>
          <w:sz w:val="24"/>
          <w:szCs w:val="24"/>
        </w:rPr>
        <w:t>В подпункте 1.2 слова «(подтверждения) соответствия мебельной продукции» заменить словами «соответствия объектов технического регулирования».</w:t>
      </w:r>
    </w:p>
    <w:p w:rsidR="0005285C" w:rsidRPr="000065A5" w:rsidRDefault="000065A5" w:rsidP="00E76CBF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  <w:lang w:eastAsia="en-US" w:bidi="en-US"/>
        </w:rPr>
        <w:t>3.</w:t>
      </w:r>
      <w:r w:rsidR="00DE680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065A5">
        <w:rPr>
          <w:rFonts w:ascii="Sylfaen" w:hAnsi="Sylfaen"/>
          <w:sz w:val="24"/>
          <w:szCs w:val="24"/>
        </w:rPr>
        <w:t>Перечень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мебельной продукции» (ТР ТС 025/2012), утвержденный указанным Решением, изложить в следующей редакции:</w:t>
      </w:r>
    </w:p>
    <w:p w:rsidR="00E76CBF" w:rsidRPr="008C0530" w:rsidRDefault="00E76CBF" w:rsidP="0045155D">
      <w:pPr>
        <w:pStyle w:val="Bodytext120"/>
        <w:shd w:val="clear" w:color="auto" w:fill="auto"/>
        <w:spacing w:before="0" w:after="120" w:line="240" w:lineRule="auto"/>
        <w:ind w:left="8931"/>
        <w:jc w:val="center"/>
        <w:rPr>
          <w:rFonts w:ascii="Sylfaen" w:hAnsi="Sylfaen"/>
          <w:sz w:val="24"/>
          <w:szCs w:val="24"/>
        </w:rPr>
      </w:pPr>
    </w:p>
    <w:p w:rsidR="0005285C" w:rsidRPr="000065A5" w:rsidRDefault="000065A5" w:rsidP="0045155D">
      <w:pPr>
        <w:pStyle w:val="Bodytext120"/>
        <w:shd w:val="clear" w:color="auto" w:fill="auto"/>
        <w:spacing w:before="0" w:after="120" w:line="240" w:lineRule="auto"/>
        <w:ind w:left="8931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«УТВЕРЖДЕН</w:t>
      </w:r>
    </w:p>
    <w:p w:rsidR="0045155D" w:rsidRPr="0045155D" w:rsidRDefault="000065A5" w:rsidP="0045155D">
      <w:pPr>
        <w:pStyle w:val="Bodytext120"/>
        <w:shd w:val="clear" w:color="auto" w:fill="auto"/>
        <w:spacing w:before="0" w:after="120" w:line="240" w:lineRule="auto"/>
        <w:ind w:left="8931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Решением Коллегии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5155D" w:rsidRPr="0045155D" w:rsidRDefault="000065A5" w:rsidP="0045155D">
      <w:pPr>
        <w:pStyle w:val="Bodytext120"/>
        <w:shd w:val="clear" w:color="auto" w:fill="auto"/>
        <w:spacing w:before="0" w:after="120" w:line="240" w:lineRule="auto"/>
        <w:ind w:left="8931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от 18 октября 2012 г. № 189</w:t>
      </w:r>
    </w:p>
    <w:p w:rsidR="00E76CBF" w:rsidRPr="00E76CBF" w:rsidRDefault="000065A5" w:rsidP="0045155D">
      <w:pPr>
        <w:pStyle w:val="Bodytext120"/>
        <w:shd w:val="clear" w:color="auto" w:fill="auto"/>
        <w:spacing w:before="0" w:after="120" w:line="240" w:lineRule="auto"/>
        <w:ind w:left="8931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(в редакции Решения Коллегии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5285C" w:rsidRPr="000065A5" w:rsidRDefault="000065A5" w:rsidP="0045155D">
      <w:pPr>
        <w:pStyle w:val="Bodytext120"/>
        <w:shd w:val="clear" w:color="auto" w:fill="auto"/>
        <w:spacing w:before="0" w:after="120" w:line="240" w:lineRule="auto"/>
        <w:ind w:left="8931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от 7 ноября 2017 г. № 136 )</w:t>
      </w:r>
    </w:p>
    <w:p w:rsidR="0005285C" w:rsidRPr="000065A5" w:rsidRDefault="000065A5" w:rsidP="009A1FD8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2" w:name="bookmark3"/>
      <w:r w:rsidRPr="000065A5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lastRenderedPageBreak/>
        <w:t>ПЕРЕЧЕНЬ</w:t>
      </w:r>
      <w:bookmarkEnd w:id="2"/>
    </w:p>
    <w:p w:rsidR="0005285C" w:rsidRPr="000065A5" w:rsidRDefault="000065A5" w:rsidP="009A1FD8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3" w:name="bookmark4"/>
      <w:r w:rsidRPr="000065A5">
        <w:rPr>
          <w:rFonts w:ascii="Sylfaen" w:hAnsi="Sylfaen"/>
          <w:sz w:val="24"/>
          <w:szCs w:val="24"/>
        </w:rPr>
        <w:t>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мебельной продукции»</w:t>
      </w:r>
      <w:bookmarkEnd w:id="3"/>
    </w:p>
    <w:p w:rsidR="0005285C" w:rsidRDefault="000065A5" w:rsidP="009A1FD8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bookmarkStart w:id="4" w:name="bookmark5"/>
      <w:r w:rsidRPr="000065A5">
        <w:rPr>
          <w:rFonts w:ascii="Sylfaen" w:hAnsi="Sylfaen"/>
          <w:sz w:val="24"/>
          <w:szCs w:val="24"/>
        </w:rPr>
        <w:t>(ТР ТС 025/2012)</w:t>
      </w:r>
      <w:bookmarkEnd w:id="4"/>
    </w:p>
    <w:p w:rsidR="009A1FD8" w:rsidRPr="009A1FD8" w:rsidRDefault="009A1FD8" w:rsidP="009A1FD8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5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977"/>
        <w:gridCol w:w="6"/>
        <w:gridCol w:w="3823"/>
        <w:gridCol w:w="5244"/>
        <w:gridCol w:w="6"/>
        <w:gridCol w:w="1787"/>
      </w:tblGrid>
      <w:tr w:rsidR="0005285C" w:rsidRPr="000065A5" w:rsidTr="00835C09">
        <w:trPr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№</w:t>
            </w:r>
          </w:p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п/п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Примечание</w:t>
            </w:r>
          </w:p>
        </w:tc>
      </w:tr>
      <w:tr w:rsidR="0005285C" w:rsidRPr="000065A5" w:rsidTr="00835C09">
        <w:trPr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9A1F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</w:t>
            </w:r>
          </w:p>
        </w:tc>
      </w:tr>
      <w:tr w:rsidR="0005285C" w:rsidRPr="000065A5" w:rsidTr="00835C09">
        <w:trPr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I. Стандарты общих технических условий и технических требований</w:t>
            </w: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 абзац третий пункта 2 абзац четвертый пункта 2 пункт 3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2.2.29 и 2.2.30 пункты 2.2.4 - 2.2.7 пункты 2.2.8, 2.3.4 и 2.3.5 пункты 2.3.1 и 2.3.2 ГОСТ 16371-93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01.01.2018</w:t>
            </w: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 абзац третий пункта 2 абзац четвертый пункта 2 пункт 3</w:t>
            </w:r>
          </w:p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7.1 - 7.3 пункт 7.4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5.2.30 и 5.2.31 пункты 5.2.4 - 5.2.7 пункты 5.2.8, 5.3.4 и 5.3.5 пункты 5.3.1 - 5.3.3 пункты 5.4.1 - 5.4.5 пункт 5.4.6 ГОСТ 16371-2014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 абзац третий пункта 2 пункт 3</w:t>
            </w:r>
          </w:p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7.1 - 7.3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1.5.1 - 1.5.6 и 1.5.23 пункты 1.5.8 и 1.5.9 подраздел 1.3 подраздел 1.6 ГОСТ 16854-91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Кресла для зрительных залов.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3C5485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</w:t>
            </w:r>
          </w:p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абзац пятый пункта 2 абзац третий пункта 2 пункт 3</w:t>
            </w:r>
          </w:p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7.1 - 7.3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 xml:space="preserve">подпункты 2.2.5.1, 2.2.5.2.1,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2.2.53,2.2.6.1 и пункты 2.2.15 и 2.2.16 пункты 2.2.17 - 2.2.19 пункты 2.2.8 - 2.2.10 подраздел 2.3 подраздел 2.4 ГОСТ 19917-93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 xml:space="preserve">Мебель для сидения и лежания. Общие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 xml:space="preserve">применяется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до 01.01.2018</w:t>
            </w:r>
          </w:p>
        </w:tc>
      </w:tr>
      <w:tr w:rsidR="003C5485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</w:t>
            </w:r>
          </w:p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третий пункта 2</w:t>
            </w:r>
          </w:p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пятый и шестой пункта 2 пункт 3</w:t>
            </w:r>
          </w:p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5.1 пункты 7.1 - 7.3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подпункты 5.2.5.1 - 5.2.5.3 и пункт 5.2.16 подпункт 5.2.6.1, пункты 5.2.7 - 5.2.9 подпункты 5.2.15.1 - 5.2.15.4</w:t>
            </w:r>
          </w:p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5.2.18, 5.2.19, 5.3.2 и 5.3.3 пункт 5.3.4 подраздел 5.4 ГОСТ 19917-2014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spacing w:after="120"/>
            </w:pPr>
          </w:p>
        </w:tc>
      </w:tr>
      <w:tr w:rsidR="003C5485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статья 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20400-2013 (кроме терминов 30 и 56)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Продукция мебельного производства. Термины и определения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spacing w:after="120"/>
            </w:pPr>
          </w:p>
        </w:tc>
      </w:tr>
      <w:tr w:rsidR="003C5485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 абзац третий пункта 2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5.2.11 и 5.2.14 пункты 5.2.8 - 5.2.10 и 5.2.12 ГОСТ 22046-2002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учебных заведений.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spacing w:after="120"/>
            </w:pPr>
          </w:p>
        </w:tc>
      </w:tr>
      <w:tr w:rsidR="003C5485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 абзац третий пункта 2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2.19, 2.22 и 2.24 пункты 2.25 - 2.27 и 2.29 ГОСТ 23190-78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книготорговая.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485" w:rsidRPr="000065A5" w:rsidRDefault="003C5485" w:rsidP="00A12548">
            <w:pPr>
              <w:spacing w:after="120"/>
            </w:pPr>
          </w:p>
        </w:tc>
      </w:tr>
      <w:tr w:rsidR="00AC3A4E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9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 абзац третий пункта 2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2.15 и 2.17 пункт 2.20 ГОСТ 23508-79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книготорговая для складских помещений.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spacing w:after="120"/>
            </w:pPr>
          </w:p>
        </w:tc>
      </w:tr>
      <w:tr w:rsidR="00AC3A4E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абзац второй пункта 2 абзац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третий пункта 2 абзац четвертый пункта 2 пункт 3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 xml:space="preserve">пункты 1.24, 1.36 - 1.39 и 1.41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пункты 1.30 и 1.32 пункт 1.33 пункт 1.4 ГОСТ 26756-85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 xml:space="preserve">Мебель для предприятий торговли. Общие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spacing w:after="120"/>
            </w:pPr>
          </w:p>
        </w:tc>
      </w:tr>
      <w:tr w:rsidR="00AC3A4E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второй - четвертый пункта 2 и пункт 3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4 и 5 ГОСТ 26756-2016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предприятий торговли. Общие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AC3A4E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12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четвертый пункта 2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подпункты 5.1.13.1 и 5.1.13.2 ГОСТ 6799-2005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Стеклоизделия для мебели. Технические условия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A4E" w:rsidRPr="000065A5" w:rsidRDefault="00AC3A4E" w:rsidP="00A12548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13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первый и второй пункта 3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527-2-2016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офисная. Столы рабочие и письменные. Часть 2. Требования безопасности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14</w:t>
            </w:r>
          </w:p>
        </w:tc>
        <w:tc>
          <w:tcPr>
            <w:tcW w:w="298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4.1.2 ГОСТ 33095-2014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Покрытия защитно-декоративные на мебели из древесины и древесных материалов. Классификация и обозначения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15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второй и третий пункта 2 статьи 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раздел 5</w:t>
            </w:r>
          </w:p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581-1-2012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используемая на открытом воздухе. Мебель для сидения и столы для жилых, общественных зон и кемпингов. Часть 1. Общие требования безопасности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16</w:t>
            </w:r>
          </w:p>
        </w:tc>
        <w:tc>
          <w:tcPr>
            <w:tcW w:w="2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581-2-2012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Мебель, используемая на открытом воздухе. Мебель для сидения и столы для жилых, общественных зон и кемпингов. Часть 2. Требования механической безопасности и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методы испытания мебели для сидения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581-3-2012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и методы испытания столов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2 статьи 5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1023-2-2016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офисная. Перегородки. Часть 2. Требования механической безопасности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с 01.01.2019</w:t>
            </w: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второй, третий и пятый пункта 2 статьи 5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 w:hanging="38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4.2 - 4.6 и 4.8, приложение А СТБ 1268-2006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складная и трансформируемая. Столы. Общие технические требования и методы испытаний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II. Стандарты функциональных размеров</w:t>
            </w: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шестой пункта 2 статьи 5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5994-93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Парты.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11015-93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ученические.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11016-93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Стулья ученические.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18313-93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для учителя.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18314-93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ученические лабораторные.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25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18607-93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демонстрационные.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18666-95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Шкафы для учебных пособий.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19301.1-2016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детская дошкольная. Функциональные размеры столов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19301.2-2016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детская дошкольная. Функциональные размеры стульев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19301.3-94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детская дошкольная. Функциональные размеры кроватей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01.01.2019</w:t>
            </w: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19301.3-2016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детская дошкольная. Функциональные размеры кроватей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19549-93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ученические для черчения и рисования.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19550-93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ученические для кабинетов иностранного языка.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20902-95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Столы обеденные школьные. Функциональные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22359-93 (ИСО 5970-79)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Стулья для актовых залов.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35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22360-95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Шкафы демонстрационные и лабораторные вытяжные.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22361-95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Подставки для технических средств обучения. Типы и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  <w:tr w:rsidR="0005285C" w:rsidRPr="000065A5" w:rsidTr="00835C0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26682-2016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006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дошкольных учреждений. Функциональные размеры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0065A5">
            <w:pPr>
              <w:spacing w:after="120"/>
            </w:pPr>
          </w:p>
        </w:tc>
      </w:tr>
    </w:tbl>
    <w:p w:rsidR="0005285C" w:rsidRPr="000065A5" w:rsidRDefault="0005285C" w:rsidP="000065A5">
      <w:pPr>
        <w:spacing w:after="120"/>
      </w:pPr>
    </w:p>
    <w:p w:rsidR="0005285C" w:rsidRPr="000065A5" w:rsidRDefault="0005285C" w:rsidP="000065A5">
      <w:pPr>
        <w:spacing w:after="120"/>
      </w:pPr>
    </w:p>
    <w:p w:rsidR="005637C0" w:rsidRDefault="005637C0">
      <w:r>
        <w:br w:type="page"/>
      </w:r>
    </w:p>
    <w:p w:rsidR="0005285C" w:rsidRPr="000065A5" w:rsidRDefault="000065A5" w:rsidP="0047668E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  <w:lang w:eastAsia="en-US" w:bidi="en-US"/>
        </w:rPr>
        <w:lastRenderedPageBreak/>
        <w:t>4.</w:t>
      </w:r>
      <w:r w:rsidR="00DE680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065A5">
        <w:rPr>
          <w:rFonts w:ascii="Sylfaen" w:hAnsi="Sylfaen"/>
          <w:sz w:val="24"/>
          <w:szCs w:val="24"/>
        </w:rPr>
        <w:t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мебельной продукции» (ТР ТС 025/2012) и осуществления оценки (подтверждения) соответствия мебельной продукции, утвержденный указанным Решением, изложить в следующей редакции:</w:t>
      </w:r>
    </w:p>
    <w:p w:rsidR="002D515D" w:rsidRPr="008C0530" w:rsidRDefault="002D515D" w:rsidP="002D515D">
      <w:pPr>
        <w:pStyle w:val="Bodytext1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5285C" w:rsidRPr="000065A5" w:rsidRDefault="000065A5" w:rsidP="0047668E">
      <w:pPr>
        <w:pStyle w:val="Bodytext1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«УТВЕРЖДЕН</w:t>
      </w:r>
    </w:p>
    <w:p w:rsidR="002D515D" w:rsidRPr="002D515D" w:rsidRDefault="000065A5" w:rsidP="0047668E">
      <w:pPr>
        <w:pStyle w:val="Bodytext1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Решением Коллегии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D515D" w:rsidRPr="002D515D" w:rsidRDefault="000065A5" w:rsidP="0047668E">
      <w:pPr>
        <w:pStyle w:val="Bodytext1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от 18 октября 2012 г. № 189</w:t>
      </w:r>
    </w:p>
    <w:p w:rsidR="002D515D" w:rsidRPr="002D515D" w:rsidRDefault="000065A5" w:rsidP="0047668E">
      <w:pPr>
        <w:pStyle w:val="Bodytext1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(в редакции Решения Коллегии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5285C" w:rsidRPr="000065A5" w:rsidRDefault="000065A5" w:rsidP="0047668E">
      <w:pPr>
        <w:pStyle w:val="Bodytext1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от 7 ноября 2017 г. № 136)</w:t>
      </w:r>
    </w:p>
    <w:p w:rsidR="0047668E" w:rsidRDefault="0047668E" w:rsidP="002D515D">
      <w:pPr>
        <w:pStyle w:val="Heading220"/>
        <w:shd w:val="clear" w:color="auto" w:fill="auto"/>
        <w:spacing w:before="0" w:after="120" w:line="240" w:lineRule="auto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5" w:name="bookmark6"/>
    </w:p>
    <w:p w:rsidR="0005285C" w:rsidRPr="000065A5" w:rsidRDefault="000065A5" w:rsidP="002D515D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0065A5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5"/>
    </w:p>
    <w:p w:rsidR="0005285C" w:rsidRPr="008C0530" w:rsidRDefault="000065A5" w:rsidP="002D515D">
      <w:pPr>
        <w:pStyle w:val="Bodytext11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0065A5">
        <w:rPr>
          <w:rFonts w:ascii="Sylfaen" w:hAnsi="Sylfaen"/>
          <w:sz w:val="24"/>
          <w:szCs w:val="24"/>
        </w:rPr>
        <w:t>стандартов, содержащих правила и методы исследований (испытаний) и измерений, в том числе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правила отбора образцов, необходимые для применения и исполнения требований технического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регламента Таможенного союза «О безопасности мебельной продукции» (ТР ТС 025/2012)</w:t>
      </w:r>
      <w:r w:rsidR="00DE680E">
        <w:rPr>
          <w:rFonts w:ascii="Sylfaen" w:hAnsi="Sylfaen"/>
          <w:sz w:val="24"/>
          <w:szCs w:val="24"/>
        </w:rPr>
        <w:t xml:space="preserve"> </w:t>
      </w:r>
      <w:r w:rsidRPr="000065A5">
        <w:rPr>
          <w:rFonts w:ascii="Sylfaen" w:hAnsi="Sylfaen"/>
          <w:sz w:val="24"/>
          <w:szCs w:val="24"/>
        </w:rPr>
        <w:t>и осуществления оценки соответствия объектов технического регулирования</w:t>
      </w:r>
    </w:p>
    <w:p w:rsidR="0047668E" w:rsidRPr="008C0530" w:rsidRDefault="0047668E">
      <w:pPr>
        <w:rPr>
          <w:rFonts w:eastAsia="Times New Roman" w:cs="Times New Roman"/>
          <w:b/>
          <w:bCs/>
        </w:rPr>
      </w:pPr>
      <w:r w:rsidRPr="008C0530">
        <w:br w:type="page"/>
      </w:r>
    </w:p>
    <w:tbl>
      <w:tblPr>
        <w:tblOverlap w:val="never"/>
        <w:tblW w:w="150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2977"/>
        <w:gridCol w:w="3686"/>
        <w:gridCol w:w="5528"/>
        <w:gridCol w:w="1984"/>
        <w:gridCol w:w="426"/>
      </w:tblGrid>
      <w:tr w:rsidR="009F4839" w:rsidRPr="000065A5" w:rsidTr="009F4839">
        <w:trPr>
          <w:gridAfter w:val="1"/>
          <w:wAfter w:w="426" w:type="dxa"/>
          <w:tblHeader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lastRenderedPageBreak/>
              <w:t>№</w:t>
            </w:r>
          </w:p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Примечание</w:t>
            </w:r>
          </w:p>
        </w:tc>
      </w:tr>
      <w:tr w:rsidR="009F4839" w:rsidRPr="000065A5" w:rsidTr="009F4839">
        <w:trPr>
          <w:gridAfter w:val="1"/>
          <w:wAfter w:w="426" w:type="dxa"/>
          <w:tblHeader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F08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</w:t>
            </w: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I. Правила отбора образцов мебели для испытаний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второй - четвертый пункта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3.4.2 ГОСТ 16371-93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01.01.2018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6.4.2 ГОСТ 16371-2014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третий пункта 3.2.2 ГОСТ 26756-85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предприятий торговли.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4 и 5 ГОСТ 26756-2016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предприятий торговли.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второй и третий пункта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2.3.2 ГОСТ 16854-91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Кресла для зрительных залов.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6.4.2 ГОСТ 22046-2002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учебных заведений.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3.6 ГОСТ 23190-78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книготорговая.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3.7 ГОСТ 23508-79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книготорговая для складских помещений.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второй, третий и пятый пункта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3.4.2 ГОСТ 19917-93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01.01.2018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6.4.2 ГОСТ 19917-2014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II. Методы измерений функциональных размеров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шестой пункта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4.1 ГОСТ 16371-93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01.01.2018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7.1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16371-2014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4.1 ГОСТ 19917-93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01.01.2018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7.1 ГОСТ 19917-2014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7.1 ГОСТ 22046-2002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учебных заведений.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III.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Методы испытаний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4211-4-2012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Испытание поверхностей. Часть 4. Оценка сопротивления удару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абзацы второй и третий пункта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581-2-2012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Мебель, используемая на открытом воздухе. Мебель для сидения и столы для жилых, общественных зон и кемпингов. Часть 2.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Требования механической безопасности и методы испытания мебели для сидения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581-3-2012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и методы испытания столов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5 СТБ 1268-2006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складная и трансформируемая. Столы. Общие технические требования и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четвертый пункта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7.9 ГОСТ 6799-2005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Стеклоизделия для мебели.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5.1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12.1.044-89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1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527-3-2016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офисная. Столы рабочие и письменные. Часть 3. Методы испытаний для определения устойчивости и механической прочности конструкции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1730-2013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бытовая. Столы. Методы испытаний на прочность, долговечность и устойчивость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12029-93 (ИСО 7173-89)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Стулья и табуреты. Определение прочности и долговечности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25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19194-73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Метод определения прочности крепления подсадных ножек мебели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19195-89 (СТ СЭВ 6472-88)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Методы испытания крепления дверей с вертикальной и горизонтальной осью вращения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19882-91 (ИСО 7171-88)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корпусная. Методы испытаний на устойчивость, прочность и деформируемость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23380-83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ученические и для учителя.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29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28102-89 (СТ СЭВ 6240-88)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корпусная. Методы испытаний штанг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28105-89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корпусная и столы. Методы испытаний выдвижных ящиков и полуящиков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28136-89 (СТ СЭВ 6241-88)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корпусная настенная. Методы испытаний на прочность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28793-90 (ИСО 7172-88)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Столы. Определение устойчивости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30099-93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Столы.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30209-94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корпусная. Двери раздвижные.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30212-94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Столы журнальные и письменные.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2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19882-91 (ИСО 7172-88)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корпусная. Методы испытаний на устойчивость, прочность и деформируемость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3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1022-2013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бытовая. Мебель для сидения. Метод определения устойчивости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1728-2013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бытовая. Мебель для сидения. Методы испытаний на прочность и долговечность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39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14314-94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Метод испытания мягких элементов на долговечность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17340-87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Методы испытаний на прочность и долговечность кроватей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19120-93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Диваны-кровати, диваны, кресла-кровати, кресла для отдыха, кушетки, тахты, скамьи, банкетки.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23381-89 (СТ СЭВ 6474-88)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Стулья ученические и детские.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23381-2016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Стулья ученические и детские. Методы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28777-90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Методы испытаний детских кроватей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45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28777-2016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Методы испытаний детских кроватей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с 01.01.2019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30210-94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Методы испытаний двухъярусных кроватей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30211-94 (ИСО 7174-1-88)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Стулья. Определение устойчивости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4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21640-91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Мягкие элементы. Метод определения мягкости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5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19918.3-79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сидения и лежания. Метод определения остаточной деформации беспружинных мягких элементов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6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26003-83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Кресла для зрительных залов. Методы испытаний на устойчивость и прочность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26003-2016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Кресла для зрительных залов. Методы испытаний на устойчивость и прочность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7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пункты 4.10 и 4.14 - 4.17 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26756-85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 xml:space="preserve">Мебель для предприятий торговли. Общие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7.10,7.11 и 7.14 - 7.16 ГОСТ 26756-2016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для предприятий торговли.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с 01.01.2019</w:t>
            </w: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таблица 8 Приложения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пункты 4.7 - 4.9 ГОСТ 23190-78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книготорговая.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55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4.4 ГОСТ 23508-79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 книготорговая для складских помещений. Общие технические 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Приложение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30255-2014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Древесные и полимерные материалы. Метод определения выделения формальдегида и других вредных летучих химических веществ в климатических камерах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34039-2016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древесные и полимерные материалы. Метод определения выделения фосфорного ангидрида в климатических камерах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34040-2016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древесные и полимерные материалы. Метод определения выделения цианистого водорода в климатических камерах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с 01.01.2019</w:t>
            </w:r>
          </w:p>
        </w:tc>
      </w:tr>
      <w:tr w:rsidR="004C64C1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59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34041-2016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древесные и полимерные материалы. Метод определения выделения водорода хлористого в климатических камерах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с 01.01.2019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34042-2016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древесные и полимерные материалы. Метод определения выделения диоксида серы в климатических камерах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с 01.01.2019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КМС 752:2013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Мебель, древесные и полимерные материалы. Метод определения выделения формальдегида и других вредных летучих химических веществ из мебели, древесных и полимерных материалов в воздух закрытых камер. Общие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16000-6-2016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Тепах ТА с последующей термической десорбцией и газохроматографическим анализом с использованием МСД/ПИД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Р ИСО 16000-9-2009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Воздух замкнутых помещений. Часть 9. Определение выделения летучих органических соединений строительными и отделочными материалами. Метод с использованием испытательной камеры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Р ИСО 16000-10-2009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Воздух замкнутых помещений. Часть 10. Определение выделения летучих органических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соединений строительными и отделочными материалами. Метод с использованием испытательной ячейки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Р ИСО 16017-1-2007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Методические указания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МУК 4.1.3167-14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Газохроматографическое определение гексана, гептана, бензола, толуола, этилбензола, м-, о-, п-ксилолов, изопропилбензола, н-пропилбензола, стирола, а-метилстирола, бензальдегида в атмосферном воздухе, воздухе испытательной камеры и замкнутых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Методические указания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МУК 4.1.3168-14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9F4839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Методические указания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МУК 4.1.3170-14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 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69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МВИ. МН 1615-2001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Методика количественного газохроматографического определения концентраций паров органических растворителей в воздухе при их совместном присутствии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МВИ. МН 2056-2004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Методика количественного газохроматографического определения концентраций метанола в воздухе климатической камеры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МВИ. МН 2057-2004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Методика количественного газохроматографического определения концентрации фталевого ангидрида, дибутилфталата и диоктилфталата в климатической камере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МВИ. МН 2101-2004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Методика количественного газохроматографического определения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концентрации винилацетата в воздухе климатической камеры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 xml:space="preserve">применяется до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01.01.2020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МВИ. МН 3121-2009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Методика количественного определения гексаметилендиамина в климатической камере методом высокоэффективной жидкостной хроматографии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МВИ. МН 3123-2009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Методика количественного определения 2,4-толуилендиизоционата в климатической камере методом высокоэффективной жидкостной хроматографии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 до 01.01.2020</w:t>
            </w: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второй пункта 3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4211-2012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Оценка устойчивости поверхности к воздействию холодных жидкостей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BA3222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4211-2-2012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Испытание поверхности. Часть 2. Оценка устойчивости к воздействию влажного тепла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4211-3-2012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Испытание поверхностей. Часть 3. Оценка устойчивости к воздействию сухого тепла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16143-81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Детали и изделия из древесины и древесных материалов. Методы определения блеска прозрачных лаковых покрытий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79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27627-88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Детали и изделия из древесины и древесных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материалов. Метод определения стойкости защитно-декоративных покрытий к пятнообразованию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четвертый пункта 3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5.3 ГОСТ 30877-2003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Материалы текстильные. Покрытия и изделия ковровые машинного способа производства. Показатели безопасности и методы их определения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пятый пункта 3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33795-2016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абзац шестой пункта 3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30108-94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5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1021-1-2016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Оценка воспламеняемости мягкой мебели. Часть I. Источник возгорания тлеющая сигарета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ГОСТ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1021-2-2016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Оценка воспламеняемости мягкой мебели. Часть 2. Источник возгорания, эквивалентный пламени спички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gridAfter w:val="1"/>
          <w:wAfter w:w="426" w:type="dxa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СТ </w:t>
            </w:r>
            <w:r w:rsidRPr="000065A5">
              <w:rPr>
                <w:rStyle w:val="Bodytext2TimesNewRoman2"/>
                <w:rFonts w:ascii="Sylfaen" w:eastAsia="Angsana New" w:hAnsi="Sylfaen"/>
                <w:spacing w:val="0"/>
                <w:sz w:val="24"/>
                <w:szCs w:val="24"/>
              </w:rPr>
              <w:t>PKEN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1021-1-2015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Мебель. Оценка воспламеняемости мягкой мебели.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lastRenderedPageBreak/>
              <w:t>Часть 1. Источник возгорания тлеющая сигарета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СТ РК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1021-2-2015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Мебель. Оценка воспламеняемости мягкой мебели. Часть 2. Источник возгорания эквивалент пламени спички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Р 50810-95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Пожарная безопасность текстильных материалов. Ткани декоративные. Метод испытания на воспламеняемость и классификация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Р 53294-2009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Материалы текстильные. Постельные принадлежности. Мягкие элементы мебели. Шторы. Занавеси. Методы испытаний на воспламеняемость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0065A5" w:rsidRDefault="0005285C" w:rsidP="002D515D">
            <w:pPr>
              <w:spacing w:after="120"/>
            </w:pPr>
          </w:p>
        </w:tc>
      </w:tr>
      <w:tr w:rsidR="0005285C" w:rsidRPr="000065A5" w:rsidTr="009F4839"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пункт 2 статьи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ГОСТ ЕН 1023-3-2016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 xml:space="preserve">Мебель офисная. Перегородки. Часть 3. Методы </w:t>
            </w:r>
            <w:r w:rsidRPr="000065A5">
              <w:rPr>
                <w:rStyle w:val="Bodytext2TimesNewRoman3"/>
                <w:rFonts w:ascii="Sylfaen" w:eastAsia="Angsana New" w:hAnsi="Sylfaen"/>
                <w:sz w:val="24"/>
                <w:szCs w:val="24"/>
              </w:rPr>
              <w:t>испьгганий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применяется</w:t>
            </w:r>
          </w:p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285C" w:rsidRPr="000065A5" w:rsidRDefault="000065A5" w:rsidP="002D51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65A5">
              <w:rPr>
                <w:rStyle w:val="Bodytext2TimesNewRoman1"/>
                <w:rFonts w:ascii="Sylfaen" w:eastAsia="Angsana New" w:hAnsi="Sylfaen"/>
                <w:sz w:val="24"/>
                <w:szCs w:val="24"/>
              </w:rPr>
              <w:t>».</w:t>
            </w:r>
          </w:p>
        </w:tc>
      </w:tr>
    </w:tbl>
    <w:p w:rsidR="0005285C" w:rsidRPr="000065A5" w:rsidRDefault="0005285C" w:rsidP="002D515D">
      <w:pPr>
        <w:spacing w:after="120"/>
      </w:pPr>
    </w:p>
    <w:p w:rsidR="0005285C" w:rsidRPr="000065A5" w:rsidRDefault="0005285C" w:rsidP="002D515D">
      <w:pPr>
        <w:spacing w:after="120"/>
      </w:pPr>
    </w:p>
    <w:p w:rsidR="0005285C" w:rsidRPr="000065A5" w:rsidRDefault="0005285C" w:rsidP="002D515D">
      <w:pPr>
        <w:spacing w:after="120"/>
      </w:pPr>
    </w:p>
    <w:sectPr w:rsidR="0005285C" w:rsidRPr="000065A5" w:rsidSect="000065A5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C37" w:rsidRDefault="00046C37" w:rsidP="0005285C">
      <w:r>
        <w:separator/>
      </w:r>
    </w:p>
  </w:endnote>
  <w:endnote w:type="continuationSeparator" w:id="0">
    <w:p w:rsidR="00046C37" w:rsidRDefault="00046C37" w:rsidP="000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C37" w:rsidRDefault="00046C37"/>
  </w:footnote>
  <w:footnote w:type="continuationSeparator" w:id="0">
    <w:p w:rsidR="00046C37" w:rsidRDefault="00046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C50"/>
    <w:multiLevelType w:val="multilevel"/>
    <w:tmpl w:val="BA1EA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5447B"/>
    <w:multiLevelType w:val="multilevel"/>
    <w:tmpl w:val="E940E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85C"/>
    <w:rsid w:val="000065A5"/>
    <w:rsid w:val="00046C37"/>
    <w:rsid w:val="0005285C"/>
    <w:rsid w:val="001043DE"/>
    <w:rsid w:val="00106207"/>
    <w:rsid w:val="00167137"/>
    <w:rsid w:val="001E3675"/>
    <w:rsid w:val="002D2662"/>
    <w:rsid w:val="002D515D"/>
    <w:rsid w:val="002F08F4"/>
    <w:rsid w:val="003C5485"/>
    <w:rsid w:val="0045155D"/>
    <w:rsid w:val="0047668E"/>
    <w:rsid w:val="004B7DD0"/>
    <w:rsid w:val="004C64C1"/>
    <w:rsid w:val="005637C0"/>
    <w:rsid w:val="005F278F"/>
    <w:rsid w:val="005F59E1"/>
    <w:rsid w:val="007B199D"/>
    <w:rsid w:val="00835C09"/>
    <w:rsid w:val="008C0530"/>
    <w:rsid w:val="009A1FD8"/>
    <w:rsid w:val="009F4839"/>
    <w:rsid w:val="00AC3A4E"/>
    <w:rsid w:val="00AE2AE5"/>
    <w:rsid w:val="00B84DBA"/>
    <w:rsid w:val="00BA3222"/>
    <w:rsid w:val="00CC30C0"/>
    <w:rsid w:val="00D977C5"/>
    <w:rsid w:val="00DE680E"/>
    <w:rsid w:val="00E76CBF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7D277-338F-4834-A54D-FA0FBE1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528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285C"/>
    <w:rPr>
      <w:color w:val="0066CC"/>
      <w:u w:val="single"/>
    </w:rPr>
  </w:style>
  <w:style w:type="character" w:customStyle="1" w:styleId="Bodytext11">
    <w:name w:val="Body text (11)_"/>
    <w:basedOn w:val="DefaultParagraphFont"/>
    <w:link w:val="Bodytext11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mallCaps">
    <w:name w:val="Body text (11) + Small Caps"/>
    <w:basedOn w:val="Bodytext11"/>
    <w:rsid w:val="0005285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5285C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5 pt,Bold"/>
    <w:basedOn w:val="Bodytext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">
    <w:name w:val="Body text (12)_"/>
    <w:basedOn w:val="DefaultParagraphFont"/>
    <w:link w:val="Bodytext120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Bold">
    <w:name w:val="Body text (12) + Bold"/>
    <w:basedOn w:val="Bodytext1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1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TimesNewRoman2">
    <w:name w:val="Body text (2) + Times New Roman"/>
    <w:aliases w:val="11 pt,Spacing 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TimesNewRoman3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110">
    <w:name w:val="Body text (11)"/>
    <w:basedOn w:val="Normal"/>
    <w:link w:val="Bodytext11"/>
    <w:rsid w:val="0005285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5285C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52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5285C"/>
    <w:pPr>
      <w:shd w:val="clear" w:color="auto" w:fill="FFFFFF"/>
      <w:spacing w:before="420" w:line="482" w:lineRule="exact"/>
      <w:jc w:val="both"/>
    </w:pPr>
    <w:rPr>
      <w:rFonts w:ascii="Angsana New" w:eastAsia="Angsana New" w:hAnsi="Angsana New" w:cs="Angsana New"/>
      <w:sz w:val="38"/>
      <w:szCs w:val="38"/>
    </w:rPr>
  </w:style>
  <w:style w:type="paragraph" w:customStyle="1" w:styleId="Heading220">
    <w:name w:val="Heading #2 (2)"/>
    <w:basedOn w:val="Normal"/>
    <w:link w:val="Heading22"/>
    <w:rsid w:val="0005285C"/>
    <w:pPr>
      <w:shd w:val="clear" w:color="auto" w:fill="FFFFFF"/>
      <w:spacing w:before="360" w:after="3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20">
    <w:name w:val="Body text (12)"/>
    <w:basedOn w:val="Normal"/>
    <w:link w:val="Bodytext12"/>
    <w:rsid w:val="0005285C"/>
    <w:pPr>
      <w:shd w:val="clear" w:color="auto" w:fill="FFFFFF"/>
      <w:spacing w:before="360" w:line="482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21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2018-05-16T10:47:00Z</dcterms:created>
  <dcterms:modified xsi:type="dcterms:W3CDTF">2019-07-04T10:18:00Z</dcterms:modified>
</cp:coreProperties>
</file>