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1E40AA">
        <w:rPr>
          <w:rFonts w:ascii="Sylfaen" w:hAnsi="Sylfaen"/>
          <w:sz w:val="24"/>
          <w:szCs w:val="24"/>
        </w:rPr>
        <w:t>ПРИНЯТ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1E40AA">
        <w:rPr>
          <w:rFonts w:ascii="Sylfaen" w:hAnsi="Sylfaen"/>
          <w:sz w:val="24"/>
          <w:szCs w:val="24"/>
        </w:rPr>
        <w:t>Решением Совета Евразийской экономической комиссии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1E40AA">
        <w:rPr>
          <w:rFonts w:ascii="Sylfaen" w:hAnsi="Sylfaen"/>
          <w:sz w:val="24"/>
          <w:szCs w:val="24"/>
        </w:rPr>
        <w:t>от 9 августа 2016 г. № 68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</w:p>
    <w:p w:rsidR="001E40AA" w:rsidRPr="001E40AA" w:rsidRDefault="001E40AA" w:rsidP="001E40AA">
      <w:pPr>
        <w:pStyle w:val="Bodytext30"/>
        <w:shd w:val="clear" w:color="auto" w:fill="auto"/>
        <w:spacing w:before="0" w:after="120" w:line="240" w:lineRule="auto"/>
        <w:ind w:right="20"/>
        <w:rPr>
          <w:rFonts w:ascii="Sylfaen" w:hAnsi="Sylfaen"/>
          <w:b w:val="0"/>
          <w:sz w:val="24"/>
          <w:szCs w:val="24"/>
        </w:rPr>
      </w:pPr>
      <w:r w:rsidRPr="001E40AA">
        <w:rPr>
          <w:rStyle w:val="Bodytext3Spacing2pt"/>
          <w:rFonts w:ascii="Sylfaen" w:hAnsi="Sylfaen"/>
          <w:b/>
          <w:spacing w:val="0"/>
          <w:sz w:val="24"/>
          <w:szCs w:val="24"/>
        </w:rPr>
        <w:t>ТЕХНИЧЕСКИЙ РЕГЛАМЕНТ</w:t>
      </w:r>
    </w:p>
    <w:p w:rsidR="001E40AA" w:rsidRPr="001E40AA" w:rsidRDefault="001E40AA" w:rsidP="001E40AA">
      <w:pPr>
        <w:pStyle w:val="Bodytext30"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Евразийского экономического союза «Требования к сжиженным углеводородным газам для использования их в качестве топлива» (ТР ЕАЭС 036/2016)</w:t>
      </w:r>
    </w:p>
    <w:p w:rsidR="001E40AA" w:rsidRPr="001E40AA" w:rsidRDefault="001E40AA" w:rsidP="001E40AA">
      <w:pPr>
        <w:pStyle w:val="Bodytext30"/>
        <w:shd w:val="clear" w:color="auto" w:fill="auto"/>
        <w:spacing w:before="0" w:after="120" w:line="240" w:lineRule="auto"/>
        <w:ind w:right="20"/>
        <w:rPr>
          <w:rFonts w:ascii="Sylfaen" w:hAnsi="Sylfaen"/>
          <w:sz w:val="24"/>
          <w:szCs w:val="24"/>
        </w:rPr>
      </w:pP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Настоящий технический регламент разработан в соответствии со статьей 52 Договора о Евразийском экономическом союзе от 29 мая 2014 года.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Настоящий технический регламент устанавливает обязательные для применения и исполнения на территории Евразийского экономического союза (далее - Союз) требования безопасности к сжиженным углеводородным газам и связанным с требованиями к сжиженным углеводородным газам процессам хранения, перевозки, реализации и утилизации, а также требования к маркировке сжиженных углеводородных газов для обеспечения их свободного перемещения на территории Союза.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Если в отношении сжиженных углеводородных газов будут приняты иные технические регламенты Союза, устанавливающие требования к сжиженным углеводородным газам, то сжиженные углеводородные газы также должны соответствовать требованиям всех технических регламентов Союза, действие которых на них распространяется.</w:t>
      </w:r>
    </w:p>
    <w:p w:rsidR="001E40AA" w:rsidRPr="001E40AA" w:rsidRDefault="001E40AA" w:rsidP="001E40AA">
      <w:pPr>
        <w:spacing w:after="120"/>
      </w:pP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left="100"/>
        <w:jc w:val="center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  <w:lang w:val="en-US" w:eastAsia="en-US" w:bidi="en-US"/>
        </w:rPr>
        <w:t>I</w:t>
      </w:r>
      <w:r w:rsidRPr="001E40AA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1E40AA">
        <w:rPr>
          <w:rFonts w:ascii="Sylfaen" w:hAnsi="Sylfaen"/>
          <w:sz w:val="24"/>
          <w:szCs w:val="24"/>
        </w:rPr>
        <w:t>Область применения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1. Настоящий технический регламент распространяется на сжиженные углеводородные газы, выпускаемые в обращение и находящиеся в обращении на территории Союза и предназначенные для коммунально-бытового и производственного потребления в качестве топлива, а также для использования в качестве моторного топлива для автомобильного транспорта (далее - сжиженные углеводородные газы).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2. Настоящий технический регламент разработан в целях защиты жизни и здоровья человека, имущества, окружающей среды, жизни и (или) здоровья животных и растений, предупреждения действий, вводящих в заблуждение потребителей сжиженных углеводородных газов относительно их назначения, безопасности и энергетической эффективности, а также в целях ресурсосбережения.</w:t>
      </w:r>
    </w:p>
    <w:p w:rsidR="001E40AA" w:rsidRPr="001E40AA" w:rsidRDefault="001E40AA" w:rsidP="001E40AA">
      <w:pPr>
        <w:spacing w:after="120"/>
      </w:pP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left="100"/>
        <w:jc w:val="center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  <w:lang w:val="en-US" w:eastAsia="en-US" w:bidi="en-US"/>
        </w:rPr>
        <w:lastRenderedPageBreak/>
        <w:t>II</w:t>
      </w:r>
      <w:r w:rsidRPr="001E40AA">
        <w:rPr>
          <w:rFonts w:ascii="Sylfaen" w:hAnsi="Sylfaen"/>
          <w:sz w:val="24"/>
          <w:szCs w:val="24"/>
        </w:rPr>
        <w:t>. Основные понятия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3. Для целей настоящего технического регламента используются понятия, которые означают следующее: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«выпуск сжиженных углеводородных газов в обращение» - поставка или ввоз сжиженных углеводородных газов (в том числе отправка со склада изготовителя или отгрузка без складирования) с целью распространения на территории Союза в ходе коммерческой деятельности на безвозмездной или возмездной основе;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«идентификация сжиженных углеводородных газов» установление тождественности характеристик сжиженных углеводородных газов, представленных для обязательного подтверждения соответствия, характеристикам, указанным в сопроводительных документах к сжиженным углеводородным газам;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«изготовитель» - юридическое лицо или физическое лицо, зарегистрированное в качестве индивидуального предпринимателя (в том числе иностранный изготовитель), осуществляющие от своего имени производство или производство и реализацию сжиженных углеводородных газов и ответственные за их соответствие требованиям настоящего технического регламента, а также требованиям других технических регламентов Союза, действие которых на них распространяется;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«импортер» - юридическое лицо или физическое лицо, зарегистрированное в качестве индивидуального предпринимателя, являющиеся резидентами государства - члена Союза, которые заключают с нерезидентом государства - члена Союза внешнеторговый договор на ввоз сжиженных углеводородных газов с целью их распространения на территории Союза в ходе коммерческой деятельности на безвозмездной или возмездной основе и несут ответственность за соответствие сжиженных углеводородных газов требованиям настоящего технического регламента, а также требованиям других технических регламентов Союза, действие которых на них распространяется;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«партия сжиженных углеводородных газов» - любое количество сжиженных углеводородных газов одного целевого назначения и марки (при наличии), однородное по показателям качества и сопровождаемое паспортом качества;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«паспорт качества» - документ, содержащий сведения об изготовителе и фактические значения нормируемых показателей качества, полученные в результате лабораторных испытаний;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«потребитель» - юридическое лицо, физическое лицо, зарегистрированное в качестве индивидуального предпринимателя, или физическое лицо, приобретающее и использующее сжиженные углеводородные газы исключительно для собственных нужд;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 xml:space="preserve">«продавец» - юридическое лицо или физическое лицо, зарегистрированное в качестве индивидуального предпринимателя, являющиеся резидентами государства - члена Союза, которые осуществляют реализацию сжиженных углеводородных газов потребителю и несут ответственность за соответствие сжиженных </w:t>
      </w:r>
      <w:r w:rsidRPr="001E40AA">
        <w:rPr>
          <w:rFonts w:ascii="Sylfaen" w:hAnsi="Sylfaen"/>
          <w:sz w:val="24"/>
          <w:szCs w:val="24"/>
        </w:rPr>
        <w:lastRenderedPageBreak/>
        <w:t>углеводородных газов требованиям настоящего технического регламента, а также требованиям других технических регламентов Союза, действие которых на них распространяется;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«реализация» - передача на возмездной основе прав собственности на сжиженные углеводородные газы одним лицом другому лицу;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«сжиженные углеводородные газы» - смесь углеводородов (пропана, пропилена, бутанов, бутиленов и бутадиенов с присутствием метана, этана, этилена и (или) пентанов и пентенов), преобразованная в жидкое состояние;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«уполномоченное изготовителем лицо» - зарегистрированные в установленном законодательством государства - члена Союза порядке на его территории юридическое лицо или физическое лицо в качестве индивидуального предпринимателя, которые на основании договора с изготовителем осуществляют действия от имени этого изготовителя при оценке соответствия и выпуске в обращение сжиженных углеводородных газов на территории Союза, а также несут ответственность за соответствие сжиженных углеводородных газов требованиям настоящего технического регламента, а также требованиям других технических регламентов Союза, действие которых на них распространяется;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«утилизация сжиженных углеводородных газов» - действие, направленное на предотвращение использования сжиженных углеводородных газов, не соответствующих требованиям настоящего технического регламента, а также других технических регламентов Союза, действие которых на них распространяется.</w:t>
      </w:r>
    </w:p>
    <w:p w:rsidR="001E40AA" w:rsidRPr="001E40AA" w:rsidRDefault="001E40AA" w:rsidP="001E40AA">
      <w:pPr>
        <w:spacing w:after="120"/>
      </w:pP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left="2268" w:right="2260"/>
        <w:jc w:val="center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III. Правила обращения сжиженных углеводородных газов</w:t>
      </w:r>
      <w:r w:rsidRPr="001E40A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E40AA">
        <w:rPr>
          <w:rFonts w:ascii="Sylfaen" w:hAnsi="Sylfaen"/>
          <w:sz w:val="24"/>
          <w:szCs w:val="24"/>
        </w:rPr>
        <w:t>на рынке Союза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4. Сжиженные углеводородные газы выпускаются в обращение на территории Союза при их соответствии требованиям настоящего технического регламента, а также требованиям других технических регламентов Союза, действие которых на них распространяется.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5. Сжиженные углеводородные газы, соответствующие требованиям настоящего технического регламента, а также требованиям других технических регламентов Союза, действие которых на них распространяется, прошедшие процедуру оценки соответствия, должны иметь маркировку единым знаком обращения продукции на рынке Союза.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6. Не допускаются к выпуску в обращение на территории Союза сжиженные углеводородные газы, не маркированные единым знаком обращения продукции на рынке Союза.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7. Сжиженные углеводородные газы на этапах хранения, перевозки и реализации должны соответствовать требованиям настоящего технического регламента, а также требованиям других технических регламентов Союза, действие которых на них распространяется.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  <w:lang w:eastAsia="en-US" w:bidi="en-US"/>
        </w:rPr>
        <w:lastRenderedPageBreak/>
        <w:t xml:space="preserve">8. </w:t>
      </w:r>
      <w:r w:rsidRPr="001E40AA">
        <w:rPr>
          <w:rFonts w:ascii="Sylfaen" w:hAnsi="Sylfaen"/>
          <w:sz w:val="24"/>
          <w:szCs w:val="24"/>
        </w:rPr>
        <w:t>Каждая партия сжиженных углеводородных газов, выпускаемая в обращение на территории Союза, должна сопровождаться паспортом качества, содержащим следующую информацию: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а) наименование изготовителя, его место нахождения (адрес юридического лица), а также адрес места осуществления деятельности по изготовлению сжиженных углеводородных газов (в случае если адреса различаются) — для юридического лица и его филиалов, которые изготавливают продукцию, или фамилия, имя и отчество (при наличии), место жительства - для физического лица, зарегистрированного в качестве индивидуального предпринимателя;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б) товарный знак изготовителя (при наличии);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в) наименование уполномоченного изготовителем лица (импортера), его место нахождения (адрес юридического лица) или наименование продавца (при ввозе сжиженных углеводородных газов на территорию Союза), его место нахождения (адрес юридического лица) - для юридического лица или фамилия, имя и отчество (при наличии), место жительства - для физического лица, зарегистрированного в качестве индивидуального предпринимателя;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г) наименование, марка (при наличии) и условное обозначение сжиженных углеводородных газов (при наличии);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д) обозначение и наименование документа, в соответствии с которым изготовлены сжиженные углеводородные газы;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е) нормативные значения физико-химических и эксплуатационных характеристик сжиженных углеводородных газов, установленные настоящим техническим регламентом, а также другими техническими регламентами Союза, действие которых на них распространяется, и документом, в соответствии с которым изготовлены сжиженные углеводородные газы, а также фактические результаты лабораторных испытаний;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ж) сведения о наличии одоранта;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з) номер партии;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и) дата изготовления;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к) единый знак обращения продукции на рынке Союза;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л) гарантийный срок хранения;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м) номер и дата выдачи паспорта;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н) фамилия и подпись лица, оформившего паспорт.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9. Паспорт качества оформляется на русском языке и при наличии соответствующих требований в законодательстве государств - членов Союза (далее - государства-члены) на государственном (государственных) языке (языках) государства-члена, на территории которого реализуются сжиженные углеводородные газы.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lastRenderedPageBreak/>
        <w:t>10. При реализации сжиженных углеводородных газов продавец обязан представить по требованию покупателя копию паспорта качества и копию декларации о соответствии сжиженных углеводородных газов требованиям настоящего технического регламента.</w:t>
      </w:r>
    </w:p>
    <w:p w:rsidR="001E40AA" w:rsidRPr="001E40AA" w:rsidRDefault="001E40AA" w:rsidP="001E40AA">
      <w:pPr>
        <w:spacing w:after="120"/>
      </w:pP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left="1701" w:right="1693"/>
        <w:jc w:val="center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IV. Требования к сжиженным углеводородным газам,</w:t>
      </w:r>
      <w:r w:rsidRPr="001E40A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E40AA">
        <w:rPr>
          <w:rFonts w:ascii="Sylfaen" w:hAnsi="Sylfaen"/>
          <w:sz w:val="24"/>
          <w:szCs w:val="24"/>
        </w:rPr>
        <w:t>процессам их хранения, перевозки, реализации и утилизации, а также требования к их маркировке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11. Сжиженные углеводородные газы, выпускаемые в обращение и находящиеся в обращении на территории Союза, по физико- химическим и эксплуатационным показателям должны соответствовать требованиям согласно приложению.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12. Основными опасными факторами (рисками), возникающими при хранении, перевозке, реализации и утилизации сжиженных углеводородных газов, являются их пожаровзрывоопасность, негативные воздействия на организм человека или животных, а также риски загрязнения окружающей среды.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13. При перевозке сжиженных углеводородных газов сопроводительные документы должны содержать следующие сведения: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а) класс опасного груза;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б) код экстренных мер;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в) знаки опасности;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г) сведения о пожаровзрывоопасности;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д) сведения об опасности для живых организмов;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е) способы и средства обезвреживания;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ж) огнегасительные средства.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14. Безопасность сжиженных углеводородных газов обеспечивается соблюдением требований, установленных настоящим техническим регламентом, а также требованиями других технических регламентов Союза, действие которых на них распространяется.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15. Перевозка сжиженных углеводородных газов железнодорожным, автомобильным, морским и внутренним водным транспортом, их хранение и реализация осуществляются в соответствии с законодательством государств-членов.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16. На тару, в которой перемещаются сжиженные углеводородные газы, наносится соответствующая маркировка, содержащая сведения, предусмотренные пунктом 13 настоящего технического регламента.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 xml:space="preserve">17. Маркировка сжиженных углеводородных газов, выпускаемых в обращение на территории Союза, наносится на русском языке и при наличии соответствующих </w:t>
      </w:r>
      <w:r w:rsidRPr="001E40AA">
        <w:rPr>
          <w:rFonts w:ascii="Sylfaen" w:hAnsi="Sylfaen"/>
          <w:sz w:val="24"/>
          <w:szCs w:val="24"/>
        </w:rPr>
        <w:lastRenderedPageBreak/>
        <w:t>требований в законодательстве государств-членов на государственном (государственных) языке (языках) государства-члена, на территории которого реализуются сжиженные углеводородные газы, за исключением наименования изготовителя и наименования сжиженных углеводородных газов, а также другого текста, входящего в зарегистрированный товарный знак. Дополнительное использование иностранных языков допускается при условии полной идентичности содержания и текста.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18. Транспортная маркировка выполняется в соответствии с требованиями правил перевозки опасных грузов железнодорожным, автомобильным, морским и внутренним водным транспортом, действующих в государствах-членах.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19. Маркировка должна быть четкой и разборчивой, выполнена способом, обеспечивающим ее сохранность к воздействиям внешней среды.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20. Утилизация сжиженных углеводородных газов осуществляется в соответствии с законодательством государств-членов.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21. Соответствие сжиженных углеводородных газов требованиям, указанным в приложении к настоящему техническому регламенту, при соблюдении условий хранения и перевозки должно быть обеспечено в течение всего периода обращения сжиженных углеводородных газов на территории Союза, но не менее гарантийного срока хранения, установленного в документе, в соответствии с которым изготовлены сжиженные углеводородные газы.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840"/>
        <w:rPr>
          <w:rFonts w:ascii="Sylfaen" w:hAnsi="Sylfaen"/>
          <w:sz w:val="24"/>
          <w:szCs w:val="24"/>
        </w:rPr>
      </w:pP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left="1701" w:right="1693"/>
        <w:jc w:val="center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V. Обеспечение соответствия сжиженных углеводородных газов требованиям технического регламента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22. Соответствие сжиженных углеводородных газов требованиям настоящего технического регламента, а также требованиям других технических регламентов Союза, действие которых на них распространяется, обеспечивает их безопасное обращение на территории Союза.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23. Методы исследований (испытаний) и измерений сжиженных углеводородных газов устанавливаются в стандартах, включенных в перечень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настоящего технического регламента и осуществления оценки соответствия сжиженных углеводородных газов.</w:t>
      </w:r>
    </w:p>
    <w:p w:rsidR="001E40AA" w:rsidRPr="001E40AA" w:rsidRDefault="001E40AA" w:rsidP="001E40AA">
      <w:pPr>
        <w:spacing w:after="120"/>
      </w:pP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left="1701" w:right="1693"/>
        <w:jc w:val="center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VI. Оценка соответствия сжиженных углеводородных газов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 xml:space="preserve">24. Оценка соответствия сжиженных углеводородных газов требованиям </w:t>
      </w:r>
      <w:r w:rsidRPr="001E40AA">
        <w:rPr>
          <w:rFonts w:ascii="Sylfaen" w:hAnsi="Sylfaen"/>
          <w:sz w:val="24"/>
          <w:szCs w:val="24"/>
        </w:rPr>
        <w:lastRenderedPageBreak/>
        <w:t>настоящего технического регламента проводится в форме подтверждения соответствия.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25. Обязательное подтверждение соответствия осуществляется в форме декларирования соответствия.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26. Перед выпуском в обращение на территории Союза сжиженные углеводородные газы подлежат подтверждению соответствия в форме декларирования соответствия по одной из следующих схем: 3д, 4д и 6д.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27. При декларировании соответствия сжиженных углеводородных газов заявителем могут быть зарегистрированные на территории государства-члена в соответствии с его законодательством юридическое лицо или физическое лицо в качестве индивидуального предпринимателя, являющиеся изготовителем или импортером (продавцом) либо уполномоченным изготовителем лицом.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28. Декларирование соответствия сжиженных углеводородных газов, выпускаемых серийно, осуществляется по схемам 3д и 6д, партии сжиженных углеводородных газов - по схеме 4д.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29. При декларировании соответствия сжиженных углеводородных газов заявителем может быть: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а) для схем 3д и 6д - изготовитель (уполномоченное изготовителем лицо);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б) для схемы 4д - изготовитель (уполномоченное изготовителем лицо) или импортер (продавец).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30. Выбор схемы декларирования соответствия сжиженных углеводородных газов осуществляется заявителем.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31. Декларирование соответствия сжиженных углеводородных газов по схемам 3д, 4д и 6д осуществляется заявителем на основании доказательств, полученных с участием аккредитованной испытательной лаборатории (центра), включенной в единый реестр органов по оценке соответствия Союза.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32. При декларировании соответствия сжиженных углеводородных газов заявитель: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а) формирует и анализирует документы, подтверждающие соответствие сжиженных углеводородных газов требованиям настоящего технического регламента, в том числе: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документы, содержащие информацию об объекте подтверждения соответствия (наименование сжиженных углеводородных газов, целевое назначение, марка (при наличии));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протокол (протоколы) испытаний образцов сжиженных углеводородных газов на соответствие требованиям настоящего технического регламента, если с момента оформления протокола испытаний прошло не более 3 месяцев;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 xml:space="preserve">договор на поставку (контракт) и товаросопроводительную документацию </w:t>
      </w:r>
      <w:r w:rsidRPr="001E40AA">
        <w:rPr>
          <w:rFonts w:ascii="Sylfaen" w:hAnsi="Sylfaen"/>
          <w:sz w:val="24"/>
          <w:szCs w:val="24"/>
        </w:rPr>
        <w:lastRenderedPageBreak/>
        <w:t>(схема 4д);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сертификат на систему менеджмента (копия сертификата) (схема 6д);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паспорт качества;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копии документов, подтверждающих государственную регистрацию юридического лица или физического лица в качестве индивидуального предпринимателя;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иные документы по выбору заявителя, послужившие основанием для подтверждения соответствия сжиженных углеводородных газов требованиям настоящего технического регламента, а также требованиям других технических регламентов Союза, действие которых на них распространяется (при наличии);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б) проводит идентификацию сжиженных углеводородных газов;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в) обеспечивает проведение производственного контроля и принимает все необходимые меры, для того чтобы процесс производства сжиженных углеводородных газов обеспечивал их соответствие требованиям настоящего технического регламента (схемы</w:t>
      </w:r>
      <w:r w:rsidRPr="001E40A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E40AA">
        <w:rPr>
          <w:rFonts w:ascii="Sylfaen" w:hAnsi="Sylfaen"/>
          <w:sz w:val="24"/>
          <w:szCs w:val="24"/>
        </w:rPr>
        <w:t>3д и 6д);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г) предпринимает все необходимые меры по обеспечению стабильности функционирования системы менеджмента (схема 6д);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д) проводит испытания сжиженных углеводородных газов;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е) принимает декларацию о соответствии, которая оформляется по единой форме и правилам, утвержденным Решением Коллегии Евразийской экономической комиссии от 25 декабря 2012 г. № 293;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ж) наносит единый знак обращения продукции на рынке Союза в паспорт качества;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з) формирует после завершения процедуры подтверждения соответствия комплект документов, который включает в себя документы, предусмотренные подпунктом «а» настоящего пункта, и декларацию о соответствии.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33. Декларация о соответствии подлежит регистрации в порядке, предусмотренном Решением Коллегии Евразийской экономической комиссии от 9 апреля 2013 г. № 76.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В зависимости от применяемой схемы декларирования соответствия сжиженных углеводородных газов срок действия декларации о соответствии устанавливается с даты ее регистрации в едином реестре выданных или принятых документов по оценке соответствия.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Декларация о соответствии сжиженных углеводородных газов регистрируется на срок: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при подтверждении соответствия по схеме 3д - не более 3 лет; при подтверждении соответствия по схеме 4д - с учетом срока хранения сжиженных углеводородных газов, но не более 1 года;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lastRenderedPageBreak/>
        <w:t>при подтверждении соответствия по схеме 6д - не более 5 лет. Комплекты документов, послуживших основанием для принятия декларации о соответствии, и зарегистрированная декларация о соответствии должны храниться у заявителя: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при подтверждении соответствия серийно выпускаемых сжиженных углеводородных газов - в течение 3 лет со дня прекращения действия декларации о соответствии;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при подтверждении соответствия партии сжиженных углеводородных газов - в течение 5 лет со дня регистрации декларации о соответствии.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34. Декларация о соответствии партии сжиженных углеводородных газов действует только в отношении сжиженных углеводородных газов, относящихся к конкретной партии.</w:t>
      </w:r>
    </w:p>
    <w:p w:rsidR="001E40AA" w:rsidRPr="001E40AA" w:rsidRDefault="001E40AA" w:rsidP="001E40AA">
      <w:pPr>
        <w:spacing w:after="120"/>
      </w:pP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left="1701" w:right="1693"/>
        <w:jc w:val="center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VII. Маркировка сжиженных углеводородных газов единым знаком обращения продукции на рынке Союза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35. Сжиженные углеводородные газы, соответствующие требованиям настоящего технического регламента, а также требованиям других технических регламентов Союза, действие которых на них распространяется, и прошедшие процедуру оценки соответствия согласно разделу VI настоящего технического регламента, маркируются единым знаком обращения продукции на рынке Союза.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36. Маркировка единым знаком обращения продукции на рынке Союза осуществляется перед выпуском сжиженных углеводородных газов в обращение на территории Союза.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37. Единый знак обращения продукции на рынке Союза наносится в паспорт качества.</w:t>
      </w:r>
    </w:p>
    <w:p w:rsidR="001E40AA" w:rsidRPr="001E40AA" w:rsidRDefault="001E40AA" w:rsidP="001E40AA">
      <w:pPr>
        <w:spacing w:after="120"/>
      </w:pP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left="1701" w:right="1693"/>
        <w:jc w:val="center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VIII. Государственный контроль (надзор) за соблюдением требований технического регламента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38. Государственный контроль (надзор) за соблюдением требований настоящего технического регламента осуществляется в соответствии с законодательством государств-членов.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left="2920"/>
        <w:rPr>
          <w:rFonts w:ascii="Sylfaen" w:hAnsi="Sylfaen"/>
          <w:sz w:val="24"/>
          <w:szCs w:val="24"/>
          <w:lang w:eastAsia="en-US" w:bidi="en-US"/>
        </w:rPr>
      </w:pP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left="1701" w:right="1693"/>
        <w:jc w:val="center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  <w:lang w:val="en-US" w:eastAsia="en-US" w:bidi="en-US"/>
        </w:rPr>
        <w:t>IX</w:t>
      </w:r>
      <w:r w:rsidRPr="001E40AA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1E40AA">
        <w:rPr>
          <w:rFonts w:ascii="Sylfaen" w:hAnsi="Sylfaen"/>
          <w:sz w:val="24"/>
          <w:szCs w:val="24"/>
        </w:rPr>
        <w:t>Защитительная оговорка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 xml:space="preserve">39. Уполномоченные органы государств-членов должны предпринять все меры для ограничения и запрета выпуска в обращение сжиженных углеводородных газов на территории Союза, а также изъятия с рынка Союза сжиженных углеводородных газов, не соответствующих требованиям настоящего технического регламента, а также других технических регламентов Союза, действие которых на них </w:t>
      </w:r>
      <w:r w:rsidRPr="001E40AA">
        <w:rPr>
          <w:rFonts w:ascii="Sylfaen" w:hAnsi="Sylfaen"/>
          <w:sz w:val="24"/>
          <w:szCs w:val="24"/>
        </w:rPr>
        <w:lastRenderedPageBreak/>
        <w:t>распространяется.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При этом уполномоченный орган государства-члена обязан уведомить уполномоченные органы других государств-членов о принятии соответствующего решения с указанием причины его принятия и представлением доказательств, разъясняющих необходимость принятия соответствующей меры.</w:t>
      </w:r>
    </w:p>
    <w:p w:rsidR="001E40AA" w:rsidRPr="001E40AA" w:rsidRDefault="001E40AA" w:rsidP="001E40AA">
      <w:pPr>
        <w:spacing w:after="120"/>
        <w:rPr>
          <w:rFonts w:eastAsia="Times New Roman" w:cs="Times New Roman"/>
        </w:rPr>
      </w:pPr>
      <w:r w:rsidRPr="001E40AA">
        <w:br w:type="page"/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lastRenderedPageBreak/>
        <w:t>ПРИЛОЖЕНИЕ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к техническому регламенту Евразийского экономического союза «Требования к сжиженным углеводородным газам для использования их в качестве топлива»</w:t>
      </w:r>
    </w:p>
    <w:p w:rsidR="001E40AA" w:rsidRPr="001E40AA" w:rsidRDefault="001E40AA" w:rsidP="001E40AA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(ТР ЕАЭС 036/2016)</w:t>
      </w:r>
    </w:p>
    <w:p w:rsidR="001E40AA" w:rsidRPr="001E40AA" w:rsidRDefault="001E40AA" w:rsidP="001E40AA">
      <w:pPr>
        <w:spacing w:after="120"/>
      </w:pPr>
    </w:p>
    <w:p w:rsidR="001E40AA" w:rsidRPr="001E40AA" w:rsidRDefault="001E40AA" w:rsidP="001E40AA">
      <w:pPr>
        <w:pStyle w:val="Bodytext30"/>
        <w:shd w:val="clear" w:color="auto" w:fill="auto"/>
        <w:spacing w:before="0" w:after="120" w:line="240" w:lineRule="auto"/>
        <w:ind w:left="1134" w:right="1126"/>
        <w:rPr>
          <w:rFonts w:ascii="Sylfaen" w:hAnsi="Sylfaen"/>
          <w:b w:val="0"/>
          <w:sz w:val="24"/>
          <w:szCs w:val="24"/>
        </w:rPr>
      </w:pPr>
      <w:r w:rsidRPr="001E40AA">
        <w:rPr>
          <w:rStyle w:val="Bodytext3Spacing2pt"/>
          <w:rFonts w:ascii="Sylfaen" w:hAnsi="Sylfaen"/>
          <w:b/>
          <w:spacing w:val="0"/>
          <w:sz w:val="24"/>
          <w:szCs w:val="24"/>
        </w:rPr>
        <w:t>ТРЕБОВАНИЯ</w:t>
      </w:r>
    </w:p>
    <w:p w:rsidR="001E40AA" w:rsidRPr="001E40AA" w:rsidRDefault="001E40AA" w:rsidP="001E40AA">
      <w:pPr>
        <w:pStyle w:val="Bodytext30"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r w:rsidRPr="001E40AA">
        <w:rPr>
          <w:rFonts w:ascii="Sylfaen" w:hAnsi="Sylfaen"/>
          <w:sz w:val="24"/>
          <w:szCs w:val="24"/>
        </w:rPr>
        <w:t>к физико-химическим и эксплуатационным показателям сжиженных углеводородных газов</w:t>
      </w:r>
    </w:p>
    <w:p w:rsidR="001E40AA" w:rsidRPr="001E40AA" w:rsidRDefault="001E40AA" w:rsidP="001E40AA">
      <w:pPr>
        <w:pStyle w:val="Bodytext30"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5"/>
        <w:gridCol w:w="2910"/>
        <w:gridCol w:w="3164"/>
      </w:tblGrid>
      <w:tr w:rsidR="001E40AA" w:rsidRPr="001E40AA" w:rsidTr="00F447B2">
        <w:tc>
          <w:tcPr>
            <w:tcW w:w="3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Fonts w:ascii="Sylfaen" w:hAnsi="Sylfaen"/>
                <w:sz w:val="24"/>
                <w:szCs w:val="24"/>
              </w:rPr>
              <w:t>Наименование</w:t>
            </w:r>
          </w:p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Fonts w:ascii="Sylfaen" w:hAnsi="Sylfaen"/>
                <w:sz w:val="24"/>
                <w:szCs w:val="24"/>
              </w:rPr>
              <w:t>показателя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Fonts w:ascii="Sylfaen" w:hAnsi="Sylfaen"/>
                <w:sz w:val="24"/>
                <w:szCs w:val="24"/>
              </w:rPr>
              <w:t>Норма для сжиженных углеводородных газов, используемых для коммунальнобытового и производственного потребления в качестве топлива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Fonts w:ascii="Sylfaen" w:hAnsi="Sylfaen"/>
                <w:sz w:val="24"/>
                <w:szCs w:val="24"/>
              </w:rPr>
              <w:t>Норма для сжиженных углеводородных газов, используемых в качестве моторного топлива для автомобильного транспорта</w:t>
            </w:r>
          </w:p>
        </w:tc>
      </w:tr>
      <w:tr w:rsidR="001E40AA" w:rsidRPr="001E40AA" w:rsidTr="00F447B2">
        <w:tc>
          <w:tcPr>
            <w:tcW w:w="35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Fonts w:ascii="Sylfaen" w:hAnsi="Sylfaen"/>
                <w:sz w:val="24"/>
                <w:szCs w:val="24"/>
              </w:rPr>
              <w:t>Октановое число, не менее</w:t>
            </w:r>
          </w:p>
        </w:tc>
        <w:tc>
          <w:tcPr>
            <w:tcW w:w="29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Style w:val="Bodytext2Verdana"/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31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Fonts w:ascii="Sylfaen" w:hAnsi="Sylfaen"/>
                <w:sz w:val="24"/>
                <w:szCs w:val="24"/>
              </w:rPr>
              <w:t>89,0</w:t>
            </w:r>
          </w:p>
        </w:tc>
      </w:tr>
      <w:tr w:rsidR="001E40AA" w:rsidRPr="001E40AA" w:rsidTr="00F447B2">
        <w:tc>
          <w:tcPr>
            <w:tcW w:w="3575" w:type="dxa"/>
            <w:shd w:val="clear" w:color="auto" w:fill="FFFFFF"/>
            <w:vAlign w:val="center"/>
          </w:tcPr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Fonts w:ascii="Sylfaen" w:hAnsi="Sylfaen"/>
                <w:sz w:val="24"/>
                <w:szCs w:val="24"/>
              </w:rPr>
              <w:t>Массовая доля суммы непредельных углеводородов, %, не более</w:t>
            </w:r>
          </w:p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Fonts w:ascii="Sylfaen" w:hAnsi="Sylfaen"/>
                <w:sz w:val="24"/>
                <w:szCs w:val="24"/>
              </w:rPr>
              <w:t>Давление насыщенных паров, избыточное, МПа, при температуре:</w:t>
            </w:r>
          </w:p>
        </w:tc>
        <w:tc>
          <w:tcPr>
            <w:tcW w:w="2910" w:type="dxa"/>
            <w:shd w:val="clear" w:color="auto" w:fill="FFFFFF"/>
          </w:tcPr>
          <w:p w:rsidR="001E40AA" w:rsidRPr="001E40AA" w:rsidRDefault="001E40AA" w:rsidP="001E40AA">
            <w:pPr>
              <w:spacing w:after="120"/>
            </w:pPr>
          </w:p>
        </w:tc>
        <w:tc>
          <w:tcPr>
            <w:tcW w:w="3164" w:type="dxa"/>
            <w:shd w:val="clear" w:color="auto" w:fill="FFFFFF"/>
          </w:tcPr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1E40AA" w:rsidRPr="001E40AA" w:rsidTr="00F447B2">
        <w:tc>
          <w:tcPr>
            <w:tcW w:w="3575" w:type="dxa"/>
            <w:shd w:val="clear" w:color="auto" w:fill="FFFFFF"/>
            <w:vAlign w:val="center"/>
          </w:tcPr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ind w:left="460"/>
              <w:jc w:val="left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Fonts w:ascii="Sylfaen" w:hAnsi="Sylfaen"/>
                <w:sz w:val="24"/>
                <w:szCs w:val="24"/>
              </w:rPr>
              <w:t>плюс 45 °С, не более</w:t>
            </w:r>
          </w:p>
        </w:tc>
        <w:tc>
          <w:tcPr>
            <w:tcW w:w="2910" w:type="dxa"/>
            <w:shd w:val="clear" w:color="auto" w:fill="FFFFFF"/>
            <w:vAlign w:val="center"/>
          </w:tcPr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Fonts w:ascii="Sylfaen" w:hAnsi="Sylfaen"/>
                <w:sz w:val="24"/>
                <w:szCs w:val="24"/>
                <w:lang w:val="en-US" w:eastAsia="en-US" w:bidi="en-US"/>
              </w:rPr>
              <w:t>1,6</w:t>
            </w:r>
          </w:p>
        </w:tc>
        <w:tc>
          <w:tcPr>
            <w:tcW w:w="3164" w:type="dxa"/>
            <w:shd w:val="clear" w:color="auto" w:fill="FFFFFF"/>
            <w:vAlign w:val="center"/>
          </w:tcPr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Fonts w:ascii="Sylfaen" w:hAnsi="Sylfaen"/>
                <w:sz w:val="24"/>
                <w:szCs w:val="24"/>
                <w:lang w:val="en-US" w:eastAsia="en-US" w:bidi="en-US"/>
              </w:rPr>
              <w:t>1,6</w:t>
            </w:r>
          </w:p>
        </w:tc>
      </w:tr>
      <w:tr w:rsidR="001E40AA" w:rsidRPr="001E40AA" w:rsidTr="00F447B2">
        <w:tc>
          <w:tcPr>
            <w:tcW w:w="3575" w:type="dxa"/>
            <w:shd w:val="clear" w:color="auto" w:fill="FFFFFF"/>
            <w:vAlign w:val="center"/>
          </w:tcPr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ind w:left="460"/>
              <w:jc w:val="left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Fonts w:ascii="Sylfaen" w:hAnsi="Sylfaen"/>
                <w:sz w:val="24"/>
                <w:szCs w:val="24"/>
              </w:rPr>
              <w:t>минус 20 °С, не менее</w:t>
            </w:r>
          </w:p>
        </w:tc>
        <w:tc>
          <w:tcPr>
            <w:tcW w:w="2910" w:type="dxa"/>
            <w:shd w:val="clear" w:color="auto" w:fill="FFFFFF"/>
            <w:vAlign w:val="center"/>
          </w:tcPr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Style w:val="Bodytext2Verdana"/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3164" w:type="dxa"/>
            <w:shd w:val="clear" w:color="auto" w:fill="FFFFFF"/>
            <w:vAlign w:val="center"/>
          </w:tcPr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Fonts w:ascii="Sylfaen" w:hAnsi="Sylfaen"/>
                <w:sz w:val="24"/>
                <w:szCs w:val="24"/>
              </w:rPr>
              <w:t>0,07</w:t>
            </w:r>
          </w:p>
        </w:tc>
      </w:tr>
      <w:tr w:rsidR="001E40AA" w:rsidRPr="001E40AA" w:rsidTr="00F447B2">
        <w:tc>
          <w:tcPr>
            <w:tcW w:w="3575" w:type="dxa"/>
            <w:shd w:val="clear" w:color="auto" w:fill="FFFFFF"/>
            <w:vAlign w:val="center"/>
          </w:tcPr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Fonts w:ascii="Sylfaen" w:hAnsi="Sylfaen"/>
                <w:sz w:val="24"/>
                <w:szCs w:val="24"/>
              </w:rPr>
              <w:t>Массовая доля сероводорода и меркаптановой серы, %, не более</w:t>
            </w:r>
          </w:p>
        </w:tc>
        <w:tc>
          <w:tcPr>
            <w:tcW w:w="2910" w:type="dxa"/>
            <w:shd w:val="clear" w:color="auto" w:fill="FFFFFF"/>
          </w:tcPr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Fonts w:ascii="Sylfaen" w:hAnsi="Sylfaen"/>
                <w:sz w:val="24"/>
                <w:szCs w:val="24"/>
              </w:rPr>
              <w:t>0,013</w:t>
            </w:r>
          </w:p>
        </w:tc>
        <w:tc>
          <w:tcPr>
            <w:tcW w:w="3164" w:type="dxa"/>
            <w:shd w:val="clear" w:color="auto" w:fill="FFFFFF"/>
          </w:tcPr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Fonts w:ascii="Sylfaen" w:hAnsi="Sylfaen"/>
                <w:sz w:val="24"/>
                <w:szCs w:val="24"/>
              </w:rPr>
              <w:t>0,01</w:t>
            </w:r>
          </w:p>
        </w:tc>
      </w:tr>
      <w:tr w:rsidR="001E40AA" w:rsidRPr="001E40AA" w:rsidTr="00F447B2">
        <w:tc>
          <w:tcPr>
            <w:tcW w:w="3575" w:type="dxa"/>
            <w:shd w:val="clear" w:color="auto" w:fill="FFFFFF"/>
            <w:vAlign w:val="bottom"/>
          </w:tcPr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ind w:left="460"/>
              <w:jc w:val="left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Fonts w:ascii="Sylfaen" w:hAnsi="Sylfaen"/>
                <w:sz w:val="24"/>
                <w:szCs w:val="24"/>
              </w:rPr>
              <w:t>в том числе сероводорода, %, не более</w:t>
            </w:r>
          </w:p>
        </w:tc>
        <w:tc>
          <w:tcPr>
            <w:tcW w:w="2910" w:type="dxa"/>
            <w:shd w:val="clear" w:color="auto" w:fill="FFFFFF"/>
          </w:tcPr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Fonts w:ascii="Sylfaen" w:hAnsi="Sylfaen"/>
                <w:sz w:val="24"/>
                <w:szCs w:val="24"/>
              </w:rPr>
              <w:t>0,003</w:t>
            </w:r>
          </w:p>
        </w:tc>
        <w:tc>
          <w:tcPr>
            <w:tcW w:w="3164" w:type="dxa"/>
            <w:shd w:val="clear" w:color="auto" w:fill="FFFFFF"/>
          </w:tcPr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Fonts w:ascii="Sylfaen" w:hAnsi="Sylfaen"/>
                <w:sz w:val="24"/>
                <w:szCs w:val="24"/>
              </w:rPr>
              <w:t>0,003</w:t>
            </w:r>
          </w:p>
        </w:tc>
      </w:tr>
      <w:tr w:rsidR="001E40AA" w:rsidRPr="001E40AA" w:rsidTr="00F447B2">
        <w:tc>
          <w:tcPr>
            <w:tcW w:w="3575" w:type="dxa"/>
            <w:shd w:val="clear" w:color="auto" w:fill="FFFFFF"/>
          </w:tcPr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Fonts w:ascii="Sylfaen" w:hAnsi="Sylfaen"/>
                <w:sz w:val="24"/>
                <w:szCs w:val="24"/>
              </w:rPr>
              <w:t>Запах</w:t>
            </w:r>
          </w:p>
        </w:tc>
        <w:tc>
          <w:tcPr>
            <w:tcW w:w="2910" w:type="dxa"/>
            <w:shd w:val="clear" w:color="auto" w:fill="FFFFFF"/>
          </w:tcPr>
          <w:p w:rsidR="001E40AA" w:rsidRPr="001E40AA" w:rsidRDefault="001E40AA" w:rsidP="001E40AA">
            <w:pPr>
              <w:spacing w:after="120"/>
            </w:pPr>
          </w:p>
        </w:tc>
        <w:tc>
          <w:tcPr>
            <w:tcW w:w="3164" w:type="dxa"/>
            <w:shd w:val="clear" w:color="auto" w:fill="FFFFFF"/>
          </w:tcPr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Fonts w:ascii="Sylfaen" w:hAnsi="Sylfaen"/>
                <w:sz w:val="24"/>
                <w:szCs w:val="24"/>
              </w:rPr>
              <w:t>неприятный и характерный при концентрации в воздухе 20 % от нижнего предела воспламеняемости</w:t>
            </w:r>
          </w:p>
        </w:tc>
      </w:tr>
      <w:tr w:rsidR="001E40AA" w:rsidRPr="001E40AA" w:rsidTr="00F447B2">
        <w:tc>
          <w:tcPr>
            <w:tcW w:w="3575" w:type="dxa"/>
            <w:shd w:val="clear" w:color="auto" w:fill="FFFFFF"/>
          </w:tcPr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ind w:left="160" w:right="156"/>
              <w:jc w:val="left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Fonts w:ascii="Sylfaen" w:hAnsi="Sylfaen"/>
                <w:sz w:val="24"/>
                <w:szCs w:val="24"/>
              </w:rPr>
              <w:t xml:space="preserve">Интенсивность запаха, баллы, </w:t>
            </w:r>
            <w:r w:rsidRPr="001E40AA">
              <w:rPr>
                <w:rFonts w:ascii="Sylfaen" w:hAnsi="Sylfaen"/>
                <w:sz w:val="24"/>
                <w:szCs w:val="24"/>
              </w:rPr>
              <w:lastRenderedPageBreak/>
              <w:t>не менее</w:t>
            </w:r>
          </w:p>
        </w:tc>
        <w:tc>
          <w:tcPr>
            <w:tcW w:w="2910" w:type="dxa"/>
            <w:shd w:val="clear" w:color="auto" w:fill="FFFFFF"/>
          </w:tcPr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Fonts w:ascii="Sylfaen" w:hAnsi="Sylfae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64" w:type="dxa"/>
            <w:shd w:val="clear" w:color="auto" w:fill="FFFFFF"/>
          </w:tcPr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Style w:val="Bodytext2Verdana"/>
                <w:rFonts w:ascii="Sylfaen" w:hAnsi="Sylfaen"/>
                <w:sz w:val="24"/>
                <w:szCs w:val="24"/>
              </w:rPr>
              <w:t>—</w:t>
            </w:r>
          </w:p>
        </w:tc>
      </w:tr>
      <w:tr w:rsidR="001E40AA" w:rsidRPr="001E40AA" w:rsidTr="00F447B2">
        <w:tc>
          <w:tcPr>
            <w:tcW w:w="3575" w:type="dxa"/>
            <w:shd w:val="clear" w:color="auto" w:fill="FFFFFF"/>
            <w:vAlign w:val="bottom"/>
          </w:tcPr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ind w:left="160" w:right="156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Fonts w:ascii="Sylfaen" w:hAnsi="Sylfaen"/>
                <w:sz w:val="24"/>
                <w:szCs w:val="24"/>
              </w:rPr>
              <w:lastRenderedPageBreak/>
              <w:t>Объемная доля жидкого остатка при плюс 20 °С, %, не более</w:t>
            </w:r>
          </w:p>
        </w:tc>
        <w:tc>
          <w:tcPr>
            <w:tcW w:w="2910" w:type="dxa"/>
            <w:shd w:val="clear" w:color="auto" w:fill="FFFFFF"/>
            <w:vAlign w:val="center"/>
          </w:tcPr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Fonts w:ascii="Sylfaen" w:hAnsi="Sylfaen"/>
                <w:sz w:val="24"/>
                <w:szCs w:val="24"/>
              </w:rPr>
              <w:t>1,8</w:t>
            </w:r>
          </w:p>
        </w:tc>
        <w:tc>
          <w:tcPr>
            <w:tcW w:w="3164" w:type="dxa"/>
            <w:shd w:val="clear" w:color="auto" w:fill="FFFFFF"/>
            <w:vAlign w:val="center"/>
          </w:tcPr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Fonts w:ascii="Sylfaen" w:hAnsi="Sylfaen"/>
                <w:sz w:val="24"/>
                <w:szCs w:val="24"/>
                <w:lang w:val="en-US" w:eastAsia="en-US" w:bidi="en-US"/>
              </w:rPr>
              <w:t>1,6</w:t>
            </w:r>
          </w:p>
        </w:tc>
      </w:tr>
      <w:tr w:rsidR="001E40AA" w:rsidRPr="001E40AA" w:rsidTr="00F447B2">
        <w:tc>
          <w:tcPr>
            <w:tcW w:w="3575" w:type="dxa"/>
            <w:shd w:val="clear" w:color="auto" w:fill="FFFFFF"/>
            <w:vAlign w:val="bottom"/>
          </w:tcPr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ind w:left="160" w:right="156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Fonts w:ascii="Sylfaen" w:hAnsi="Sylfaen"/>
                <w:sz w:val="24"/>
                <w:szCs w:val="24"/>
              </w:rPr>
              <w:t>Содержание свободной воды и щелочи</w:t>
            </w:r>
          </w:p>
        </w:tc>
        <w:tc>
          <w:tcPr>
            <w:tcW w:w="2910" w:type="dxa"/>
            <w:shd w:val="clear" w:color="auto" w:fill="FFFFFF"/>
            <w:vAlign w:val="center"/>
          </w:tcPr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Fonts w:ascii="Sylfaen" w:hAnsi="Sylfaen"/>
                <w:sz w:val="24"/>
                <w:szCs w:val="24"/>
              </w:rPr>
              <w:t>отсутствие</w:t>
            </w:r>
          </w:p>
        </w:tc>
        <w:tc>
          <w:tcPr>
            <w:tcW w:w="3164" w:type="dxa"/>
            <w:shd w:val="clear" w:color="auto" w:fill="FFFFFF"/>
            <w:vAlign w:val="center"/>
          </w:tcPr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Fonts w:ascii="Sylfaen" w:hAnsi="Sylfaen"/>
                <w:sz w:val="24"/>
                <w:szCs w:val="24"/>
              </w:rPr>
              <w:t>отсутствие</w:t>
            </w:r>
          </w:p>
        </w:tc>
      </w:tr>
    </w:tbl>
    <w:p w:rsidR="001E40AA" w:rsidRPr="001E40AA" w:rsidRDefault="001E40AA" w:rsidP="001E40AA">
      <w:pPr>
        <w:spacing w:after="120"/>
      </w:pPr>
    </w:p>
    <w:tbl>
      <w:tblPr>
        <w:tblOverlap w:val="never"/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1"/>
        <w:gridCol w:w="8090"/>
      </w:tblGrid>
      <w:tr w:rsidR="001E40AA" w:rsidRPr="001E40AA" w:rsidTr="00F447B2">
        <w:tc>
          <w:tcPr>
            <w:tcW w:w="1691" w:type="dxa"/>
            <w:shd w:val="clear" w:color="auto" w:fill="FFFFFF"/>
          </w:tcPr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Style w:val="Bodytext211pt"/>
                <w:rFonts w:ascii="Sylfaen" w:hAnsi="Sylfaen"/>
                <w:sz w:val="24"/>
                <w:szCs w:val="24"/>
              </w:rPr>
              <w:t>Примечания:</w:t>
            </w:r>
          </w:p>
        </w:tc>
        <w:tc>
          <w:tcPr>
            <w:tcW w:w="8090" w:type="dxa"/>
            <w:shd w:val="clear" w:color="auto" w:fill="FFFFFF"/>
            <w:vAlign w:val="center"/>
          </w:tcPr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ind w:left="426" w:right="91" w:hanging="284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Style w:val="Bodytext211pt"/>
                <w:rFonts w:ascii="Sylfaen" w:hAnsi="Sylfaen"/>
                <w:sz w:val="24"/>
                <w:szCs w:val="24"/>
              </w:rPr>
              <w:t>1. Давление насыщенных паров сжиженных углеводородных газов при температуре минус 20 °С должно определяться только в зимний период.</w:t>
            </w:r>
          </w:p>
          <w:p w:rsidR="001E40AA" w:rsidRPr="001E40AA" w:rsidRDefault="001E40AA" w:rsidP="001E40AA">
            <w:pPr>
              <w:pStyle w:val="Bodytext20"/>
              <w:shd w:val="clear" w:color="auto" w:fill="auto"/>
              <w:spacing w:before="0" w:after="120" w:line="240" w:lineRule="auto"/>
              <w:ind w:left="426" w:right="91" w:hanging="284"/>
              <w:rPr>
                <w:rFonts w:ascii="Sylfaen" w:hAnsi="Sylfaen"/>
                <w:sz w:val="24"/>
                <w:szCs w:val="24"/>
              </w:rPr>
            </w:pPr>
            <w:r w:rsidRPr="001E40AA">
              <w:rPr>
                <w:rStyle w:val="Bodytext211pt"/>
                <w:rFonts w:ascii="Sylfaen" w:hAnsi="Sylfaen"/>
                <w:sz w:val="24"/>
                <w:szCs w:val="24"/>
              </w:rPr>
              <w:t>2. Допускается не определять интенсивность запаха при массовой доле меркаптановой серы в сжиженных углеводородных газах 0,002 % и более. При массовой доле меркаптановой серы менее 0,002 % или интенсивности запаха менее 3 баллов сжиженные углеводородные газы должны быть одорированы по методике, утвержденной в установленном законодательством государств - членов Евразийского экономического союза порядке.</w:t>
            </w:r>
          </w:p>
        </w:tc>
      </w:tr>
    </w:tbl>
    <w:p w:rsidR="00EC2A2C" w:rsidRPr="001E40AA" w:rsidRDefault="00EC2A2C" w:rsidP="001E40AA">
      <w:pPr>
        <w:spacing w:after="120"/>
      </w:pPr>
    </w:p>
    <w:sectPr w:rsidR="00EC2A2C" w:rsidRPr="001E40AA" w:rsidSect="001E40AA">
      <w:pgSz w:w="11907" w:h="1684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BBC" w:rsidRDefault="00736BBC" w:rsidP="005E58D7">
      <w:r>
        <w:separator/>
      </w:r>
    </w:p>
  </w:endnote>
  <w:endnote w:type="continuationSeparator" w:id="0">
    <w:p w:rsidR="00736BBC" w:rsidRDefault="00736BBC" w:rsidP="005E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BBC" w:rsidRDefault="00736BBC"/>
  </w:footnote>
  <w:footnote w:type="continuationSeparator" w:id="0">
    <w:p w:rsidR="00736BBC" w:rsidRDefault="00736BB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E58D7"/>
    <w:rsid w:val="001E40AA"/>
    <w:rsid w:val="001E75E6"/>
    <w:rsid w:val="002201F1"/>
    <w:rsid w:val="0029095B"/>
    <w:rsid w:val="002A4265"/>
    <w:rsid w:val="004E5CB9"/>
    <w:rsid w:val="00526268"/>
    <w:rsid w:val="00585F0A"/>
    <w:rsid w:val="005E58D7"/>
    <w:rsid w:val="00736BBC"/>
    <w:rsid w:val="007448B0"/>
    <w:rsid w:val="00941A7C"/>
    <w:rsid w:val="00A13C1D"/>
    <w:rsid w:val="00AD49A8"/>
    <w:rsid w:val="00CE30A0"/>
    <w:rsid w:val="00E812ED"/>
    <w:rsid w:val="00E915F9"/>
    <w:rsid w:val="00EC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E58D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58D7"/>
    <w:rPr>
      <w:color w:val="000080"/>
      <w:u w:val="single"/>
    </w:rPr>
  </w:style>
  <w:style w:type="character" w:customStyle="1" w:styleId="Heading2">
    <w:name w:val="Heading #2_"/>
    <w:basedOn w:val="DefaultParagraphFont"/>
    <w:link w:val="Heading20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2pt">
    <w:name w:val="Body text (2) + Spacing 2 pt"/>
    <w:basedOn w:val="Bodytext2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5E58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9pt">
    <w:name w:val="Body text (2) + 19 pt"/>
    <w:basedOn w:val="Bodytext2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23">
    <w:name w:val="Body text (2)"/>
    <w:basedOn w:val="Bodytext2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514pt">
    <w:name w:val="Body text (5) + 14 pt"/>
    <w:basedOn w:val="Bodytext5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519pt">
    <w:name w:val="Body text (5) + 19 pt"/>
    <w:basedOn w:val="Bodytext5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219pt0">
    <w:name w:val="Body text (2) + 19 pt"/>
    <w:basedOn w:val="Bodytext2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29pt">
    <w:name w:val="Body text (2) + 9 pt"/>
    <w:basedOn w:val="Bodytext2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Bold">
    <w:name w:val="Body text (2) + Bold"/>
    <w:aliases w:val="Spacing 2 pt"/>
    <w:basedOn w:val="Bodytext2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0">
    <w:name w:val="Body text (2) + Bold"/>
    <w:aliases w:val="Spacing 2 pt,Body text (2) + 14 pt,Bold,Body text (2) + 13 pt"/>
    <w:basedOn w:val="Bodytext2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4">
    <w:name w:val="Body text (2)"/>
    <w:basedOn w:val="Bodytext2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Bold1">
    <w:name w:val="Body text (2) + Bold"/>
    <w:aliases w:val="Spacing 4 pt"/>
    <w:basedOn w:val="Bodytext2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Verdana">
    <w:name w:val="Body text (2) + Verdana"/>
    <w:aliases w:val="4 pt"/>
    <w:basedOn w:val="Bodytext2"/>
    <w:rsid w:val="005E58D7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5E58D7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5E58D7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5E58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5E58D7"/>
    <w:pPr>
      <w:shd w:val="clear" w:color="auto" w:fill="FFFFFF"/>
      <w:spacing w:before="300" w:line="48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Normal"/>
    <w:link w:val="Bodytext3"/>
    <w:rsid w:val="005E58D7"/>
    <w:pPr>
      <w:shd w:val="clear" w:color="auto" w:fill="FFFFFF"/>
      <w:spacing w:before="600" w:after="30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50">
    <w:name w:val="Body text (5)"/>
    <w:basedOn w:val="Normal"/>
    <w:link w:val="Bodytext5"/>
    <w:rsid w:val="005E58D7"/>
    <w:pPr>
      <w:shd w:val="clear" w:color="auto" w:fill="FFFFFF"/>
      <w:spacing w:before="600" w:after="60" w:line="27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rsid w:val="005E58D7"/>
    <w:pPr>
      <w:shd w:val="clear" w:color="auto" w:fill="FFFFFF"/>
      <w:spacing w:before="120" w:after="840" w:line="0" w:lineRule="atLeast"/>
      <w:jc w:val="center"/>
    </w:pPr>
    <w:rPr>
      <w:rFonts w:ascii="Times New Roman" w:eastAsia="Times New Roman" w:hAnsi="Times New Roman" w:cs="Times New Roman"/>
      <w:sz w:val="38"/>
      <w:szCs w:val="3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2A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2A2C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2A2C"/>
    <w:rPr>
      <w:vertAlign w:val="superscript"/>
    </w:rPr>
  </w:style>
  <w:style w:type="character" w:customStyle="1" w:styleId="Bodytext211pt">
    <w:name w:val="Body text (2) + 11 pt"/>
    <w:aliases w:val="Italic"/>
    <w:basedOn w:val="Bodytext2"/>
    <w:rsid w:val="001E40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3266</Words>
  <Characters>18618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3</cp:revision>
  <dcterms:created xsi:type="dcterms:W3CDTF">2017-03-17T07:21:00Z</dcterms:created>
  <dcterms:modified xsi:type="dcterms:W3CDTF">2017-11-06T12:05:00Z</dcterms:modified>
</cp:coreProperties>
</file>