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3F" w:rsidRDefault="00141987" w:rsidP="006A0238">
      <w:pPr>
        <w:pStyle w:val="Bodytext20"/>
        <w:shd w:val="clear" w:color="auto" w:fill="auto"/>
        <w:spacing w:before="0" w:after="120" w:line="240" w:lineRule="auto"/>
        <w:ind w:left="8222"/>
        <w:jc w:val="left"/>
        <w:rPr>
          <w:rFonts w:ascii="Sylfaen" w:hAnsi="Sylfaen"/>
          <w:sz w:val="24"/>
          <w:lang w:val="en-US"/>
        </w:rPr>
      </w:pPr>
      <w:bookmarkStart w:id="0" w:name="_GoBack"/>
      <w:bookmarkEnd w:id="0"/>
      <w:r w:rsidRPr="00141987">
        <w:rPr>
          <w:rFonts w:ascii="Sylfaen" w:hAnsi="Sylfaen"/>
          <w:sz w:val="24"/>
        </w:rPr>
        <w:t>Проект</w:t>
      </w:r>
    </w:p>
    <w:p w:rsidR="006A0238" w:rsidRPr="006A0238" w:rsidRDefault="006A0238" w:rsidP="006A0238">
      <w:pPr>
        <w:pStyle w:val="Bodytext20"/>
        <w:shd w:val="clear" w:color="auto" w:fill="auto"/>
        <w:spacing w:before="0" w:after="120" w:line="240" w:lineRule="auto"/>
        <w:ind w:left="8222"/>
        <w:jc w:val="left"/>
        <w:rPr>
          <w:rFonts w:ascii="Sylfaen" w:hAnsi="Sylfaen"/>
          <w:sz w:val="24"/>
          <w:lang w:val="en-US"/>
        </w:rPr>
      </w:pPr>
    </w:p>
    <w:p w:rsidR="00CE773F" w:rsidRPr="00141987" w:rsidRDefault="00141987" w:rsidP="006A0238">
      <w:pPr>
        <w:pStyle w:val="Heading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141987">
        <w:rPr>
          <w:rStyle w:val="Heading2Spacing2pt0"/>
          <w:rFonts w:ascii="Sylfaen" w:hAnsi="Sylfaen"/>
          <w:b/>
          <w:bCs/>
          <w:spacing w:val="0"/>
          <w:sz w:val="24"/>
        </w:rPr>
        <w:t>СОГЛАШЕНИЕ</w:t>
      </w:r>
    </w:p>
    <w:p w:rsidR="00CE773F" w:rsidRPr="00141987" w:rsidRDefault="00141987" w:rsidP="006A0238">
      <w:pPr>
        <w:pStyle w:val="Bodytext30"/>
        <w:shd w:val="clear" w:color="auto" w:fill="auto"/>
        <w:spacing w:line="240" w:lineRule="auto"/>
        <w:ind w:firstLine="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 порядке обращения в рамках Евразийского экономического союза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продукции, требования к которой не установлены техническими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регламентами Евразийского экономического союза, и правилах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обеспечения безопасности такой продукции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Государства - члены Евразийского экономического союза, именуемые в дальнейшем государствами-членами,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основываясь на положениях Договора о Евразийском экономическом союзе от 29 мая 2014 года (далее - Договор),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исходя из необходимости обеспечения в рамках Евразийского экономического союза (далее - Союз) производства и обращения безопасной продукции,</w:t>
      </w:r>
    </w:p>
    <w:p w:rsidR="00CE773F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lang w:val="en-US"/>
        </w:rPr>
      </w:pPr>
      <w:r w:rsidRPr="00141987">
        <w:rPr>
          <w:rFonts w:ascii="Sylfaen" w:hAnsi="Sylfaen"/>
          <w:sz w:val="24"/>
        </w:rPr>
        <w:t>согласились о нижеследующем:</w:t>
      </w:r>
    </w:p>
    <w:p w:rsidR="006A0238" w:rsidRPr="006A0238" w:rsidRDefault="006A0238" w:rsidP="00141987">
      <w:pPr>
        <w:pStyle w:val="Bodytext20"/>
        <w:shd w:val="clear" w:color="auto" w:fill="auto"/>
        <w:spacing w:before="0" w:after="120" w:line="240" w:lineRule="auto"/>
        <w:ind w:left="620" w:firstLine="700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16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Настоящее Соглашение определяет порядок обращения в рамках Союза продукции, не включенной в единый перечень продукции, в отношении которой устанавливаются обязательные требования в рамках Союза (далее - единый перечень), а также продукции, включенной в единый перечень, но в отношении которой не приняты или не вступили в силу технические регламенты Союза, за исключением продукции, указанной в пункте 2 настоящей статьи, и правила обеспечения безопасности такой продукции.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Положения настоящего Соглашения не применяются в отношении: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а)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оборонной продукции (работ, услуг) для обеспечения интересов обороны и безопасности, в том числе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(государственные секреты) или относящихся к охраняемой в соответствии с законодательством государств-членов иной информации ограниченного доступа, продукции (работ, услуг), сведения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 которой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составляют государственную тайну (государственные секреты), продукции (работ, услуг) и объектов, для которых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указанной продукции и указанных объектов;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б)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продукции, бывшей в употреблении;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лекарственных средств;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г)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 xml:space="preserve">медицинских изделий (изделий медицинского назначения и медицинской </w:t>
      </w:r>
      <w:r w:rsidRPr="00141987">
        <w:rPr>
          <w:rFonts w:ascii="Sylfaen" w:hAnsi="Sylfaen"/>
          <w:sz w:val="24"/>
        </w:rPr>
        <w:lastRenderedPageBreak/>
        <w:t>техники).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Настоящее Соглашение не распространяется на правоотношения, связанные с применением санитарных, ветеринарносанитарных и карантинных фитосанитарных мер.</w:t>
      </w:r>
    </w:p>
    <w:p w:rsidR="00CC316A" w:rsidRDefault="00CC316A" w:rsidP="00141987">
      <w:pPr>
        <w:pStyle w:val="Bodytext20"/>
        <w:shd w:val="clear" w:color="auto" w:fill="auto"/>
        <w:spacing w:before="0" w:after="120" w:line="240" w:lineRule="auto"/>
        <w:ind w:left="14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14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Для целей настоящего Соглашения используются понятия, которые означают следующее: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«безопасная продукция» - продукция, которая при выполнении условий эксплуатации (использования, применения) с учетом ее характеристик и потребительских свойств (включая состав, срок годности (срок службы), а также при необходимости условия монтажа, наладки, эксплуатации, хранения, перевозки, реализации и утилизации, в том числе потребность в обслуживании) не представляет риска;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«изъятие продукции» - мероприятие, направленное на предотвращение выпуска в обращение и обращения в рамках Союза опасной продукции;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«маркировка» - информация в виде знаков, символов, надписей, рисунков и иных обозначений, наносимая на продукцию, упаковку, ярлык, этикетку, лист-вкладыш или на иной установленный законодательством государств-членов вид носителя информации, прикрепленного к упаковке, помещенного в нее или прилагаемого к ней, и предназначенная для обеспечения идентификации продукции и информирования приобретателя (потребителя) о ее составе, потребительских свойствах и рекомендациях по эксплуатации (использованию, применению);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«обращение продукции» - процессы движения продукции от изготовителя к приобретателю (потребителю) после ее поставки или ввоза (в том числе после отправки со склада изготовителя или отгрузки без складирования) с целью распространения на территориях государств-членов в ходе коммерческой деятельности на безвозмездной или возмездной основе;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«опасная продукция» - продукция, которая при выполнении условий эксплуатации (использования, применения) с учетом ее характеристик и потребительских свойств (включая состав, срок годности (срок службы), а также при необходимости условия монтажа,</w:t>
      </w:r>
      <w:r w:rsidR="007925BD" w:rsidRPr="007925BD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наладки, эксплуатации, хранения, перевозки, реализации и утилизации, в том числе потребность в обслуживании) представляет риск;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«отзыв продукции» - мероприятие, направленное на возврат (в том числе временный) опасной продукции, выпущенной в обращение и обращаемой в рамках Союза, а также опасной продукции, реализованной приобретателю (потребителю);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 xml:space="preserve">«потребитель» - физическое лицо, имеющее намерение заказать (приобрести) либо заказывающее (приобретающее, использующее) продукцию исключительно для </w:t>
      </w:r>
      <w:r w:rsidRPr="00141987">
        <w:rPr>
          <w:rFonts w:ascii="Sylfaen" w:hAnsi="Sylfaen"/>
          <w:sz w:val="24"/>
        </w:rPr>
        <w:lastRenderedPageBreak/>
        <w:t>личных (бытовых) нужд, не связанных с осуществлением предпринимательской деятельности;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«приобретатель» - юридическое или физическое лицо, в том числе потребитель, имеющее намерение заказать (приобрести) либо заказывающее (приобретающее, использующее) продукцию для использования в любых законных целях.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Иные понятия, используемые в настоящем Соглашении, применяются в значениях, определенных Договором.</w:t>
      </w:r>
    </w:p>
    <w:p w:rsidR="006A0238" w:rsidRDefault="006A0238" w:rsidP="00141987">
      <w:pPr>
        <w:pStyle w:val="Bodytext20"/>
        <w:shd w:val="clear" w:color="auto" w:fill="auto"/>
        <w:spacing w:before="0" w:after="120" w:line="240" w:lineRule="auto"/>
        <w:ind w:left="14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14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3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Безопасность продукции, указанной в пункте 1 статьи 1 настоящего Соглашения, обеспечивается юридическими лицами или физическими лицами, зарегистрированными в качестве индивидуальных предпринимателей, их уполномоченными представителями, в том числе изготовителями, уполномоченными изготовителем лицами, импортерами и продавцами, осуществляющими производство и (или) реализацию продукции, на всех стадиях ее жизненного цикла (при проектировании (включая изыскания), производстве, строительстве, монтаже, наладке, эксплуатации,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хранении, перевозке, реализации и утилизации) в соответствии с законодательством государств-членов с учетом настоящего Соглашения.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Ответственность за выпуск в обращение и обращение в рамках Союза опасной продукции устанавливается в соответствии с законодательством государств-членов.</w:t>
      </w:r>
    </w:p>
    <w:p w:rsidR="006A0238" w:rsidRDefault="006A0238" w:rsidP="00141987">
      <w:pPr>
        <w:pStyle w:val="Bodytext20"/>
        <w:shd w:val="clear" w:color="auto" w:fill="auto"/>
        <w:spacing w:before="0" w:after="120" w:line="240" w:lineRule="auto"/>
        <w:ind w:left="16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16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4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разработке (проектировании) продукции, указанной в пункте 1 статьи 1 настоящего Соглашения, должны применяться технические решения, позволяющие установить свойства (показатели, характеристики) продукции, обеспечивающие ее безопасность. В случае необходимости должны быть предусмотрены системы (элементы) безопасности, обеспечивающие защиту от возможных рисков, и (или) должна быть представлена информация о безопасных условиях эксплуатации (использования, применения) продукции, в том числе для отдельных категорий потребителей, особенно уязвимых для рисков, которые может представлять такая продукция при ее эксплуатации (использовании, применении).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производстве продукции, указанной в пункте 1 статьи 1 настоящего Соглашения, должна быть обеспечена стабильность свойств (показателей, характеристик) безопасности на заданном при разработке (проектировании) такой продукции уровне.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 xml:space="preserve">При обращении в рамках Союза продукции, указанной в пункте 1 статьи 1 настоящего Соглашения, должно быть обеспечено сохранение свойств (показателей, </w:t>
      </w:r>
      <w:r w:rsidRPr="00141987">
        <w:rPr>
          <w:rFonts w:ascii="Sylfaen" w:hAnsi="Sylfaen"/>
          <w:sz w:val="24"/>
        </w:rPr>
        <w:lastRenderedPageBreak/>
        <w:t>характеристик) безопасности продукции на заданном при разработке (проектировании) и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производстве такой продукции уровне с учетом срока годности (срока службы).</w:t>
      </w:r>
    </w:p>
    <w:p w:rsidR="006A0238" w:rsidRDefault="006A0238" w:rsidP="00141987">
      <w:pPr>
        <w:pStyle w:val="Bodytext20"/>
        <w:shd w:val="clear" w:color="auto" w:fill="auto"/>
        <w:spacing w:before="0" w:after="120" w:line="240" w:lineRule="auto"/>
        <w:ind w:left="18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18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5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целях обеспечения безопасности продукции, не включенной в единый перечень, а также продукции, включенной в единый перечень, но в отношении которой не установлены в соответствии с законодательством государств-членов обязательные требования безопасности, изготовитель (уполномоченное изготовителем лицо) должен исходить из: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а)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необходимости учета характеристик продукции (включая ее состав), требований к упаковке, наличия инструкции (руководства) по ее эксплуатации (использованию, применению) и при необходимости инструкции по ее монтажу, пуску, регулированию и обкатке;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б)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сведений о влиянии такой продукции на другую продукцию при наличии информации или обоснованных предположений о возможности использования данной продукции совместно с другой продукцией;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необходимости предоставления приобретателю (потребителю) информации о продукции и ее маркировке, а также предоставления инструкции (руководства) по ее эксплуатации (использованию, применению), утилизации и (или) других указаний, в том числе иной информации о данной продукции (включая в отдельных случаях рекомендации и (или) ограничения по ее использованию в течение срока годности (срока службы)), а также информации о возможных рисках, которые могут представлять монтаж, наладка, эксплуатация (использование, применение) продукции, и при необходимости способах их устранения;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г)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обоснованных предположений о возможности применения продукции не по назначению, когда такое применение может представлять риск;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д)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необходимости предоставления информации об эксплуатации (использовании, применении) продукции отдельными категориями потребителей, в том числе несовершеннолетними, беременными женщинами, кормящими матерями, инвалидами.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Изготовитель (уполномоченное изготовителем лицо) обеспечивает безопасность указанной в пункте 1 настоящей статьи продукции, ее соответствие заявленным в маркировке свойствам и сведениям об основных потребительских свойствах и безопасности продукции, предоставленным изготовителем приобретателю (потребителю) (при условии соблюдения установленных изготовителем рекомендаций (указаний) и (или) ограничений по эксплуатации (использованию, применению) в течение установленного изготовителем срока годности (срока службы) продукции).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 xml:space="preserve">Применение изготовителем на добровольной основе при производстве </w:t>
      </w:r>
      <w:r w:rsidRPr="00141987">
        <w:rPr>
          <w:rFonts w:ascii="Sylfaen" w:hAnsi="Sylfaen"/>
          <w:sz w:val="24"/>
        </w:rPr>
        <w:lastRenderedPageBreak/>
        <w:t>продукции, указанной в пункте 1 настоящей статьи, межгосударственных стандартов и (или) национальных (государственных) стандартов государств-членов, действие которых распространяется на указанную продукцию, является достаточным условием для соблюдения требований, указанных в пункте 2 настоящей статьи, и обеспечения безопасности продукции.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Неприменение межгосударственных стандартов и (или) национальных (государственных) стандартов государств-членов, действие которых распространяется на такую продукцию, не может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рассматриваться как несоблюдение требований, указанных в пункте 2 настоящей статьи, и не может являться условием для рассмотрения продукции в качестве опасной.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целях обеспечения безопасности эксплуатации (использования, применения) продукции, указанной в пункте 1 настоящей статьи, ее хранения, транспортировки и утилизации продавец (импортер) обязан соблюдать условия, установленные изготовителем, и обязан довести их до сведения приобретателя (потребителя), в том числе посредством их включения в сопроводительную документацию на продукцию, ее маркировку или иным способом.</w:t>
      </w:r>
    </w:p>
    <w:p w:rsidR="006A0238" w:rsidRDefault="006A0238" w:rsidP="00141987">
      <w:pPr>
        <w:pStyle w:val="Bodytext20"/>
        <w:shd w:val="clear" w:color="auto" w:fill="auto"/>
        <w:spacing w:before="0" w:after="120" w:line="240" w:lineRule="auto"/>
        <w:ind w:left="2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2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6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целях обеспечения безопасности включенной в единый перечень продукции, в отношении которой не приняты или не вступили в силу технические регламенты Союза, государства-члены могут устанавливать в своем законодательстве правила выпуска продукции в обращение и обязательные требования безопасности.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Такая продукция, в отношении которой действуют в соответствии с законодательством государств-членов обязательные требования безопасности, считается безопасной при условии ее соответствия указанным требованиям.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Информация об обязательных требованиях безопасности в отношении продукции, указанной в пункте 1 настоящей статьи, формах оценки соответствия такой продукции указанным требованиям, а также об органах, осуществляющих оценку соответствия такой продукции (с указанием наименований такой продукции и документов,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устанавливающих обязательные требования безопасности), направляется государствами-членами в Евразийскую экономическую комиссию.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Евразийская экономическая комиссия обеспечивает размещение указанной информации на официальном сайте Союза.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Государства-члены информируют друг друга и Евразийскую экономическую комиссию об установлении правил выпуска в обращение и обязательных требований безопасности в отношении включенной в единый перечень продукции, в отношении которой не приняты или не вступили в силу технические регламенты Союза, не позднее чем за 180 календарных дней до даты вступления указанных норм в силу.</w:t>
      </w:r>
    </w:p>
    <w:p w:rsidR="006A0238" w:rsidRDefault="006A0238" w:rsidP="00141987">
      <w:pPr>
        <w:pStyle w:val="Bodytext20"/>
        <w:shd w:val="clear" w:color="auto" w:fill="auto"/>
        <w:spacing w:before="0" w:after="120" w:line="240" w:lineRule="auto"/>
        <w:ind w:left="2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2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7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целях обеспечения безопасности продукции, не включенной в единый перечень, а также включенной в единый перечень продукции, в отношении которой не приняты или не вступили в силу технические регламенты Союза и не установлены в соответствии с законодательством государств-членов обязательные требования безопасности, государства-члены в соответствии со своим законодательством принимают меры по предотвращению причинения вреда, связанного с обращением опасной продукции, в случае ее выявления (в том числе по изъятию и отзыву опасной продукции).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целях реализации настоящего Соглашения государства-члены обеспечивают проведение в соответствии со своим законодательством мониторинга безопасности продукции, в том числе осуществляют сбор и анализ информации о выявленных случаях причинения вреда,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связанного с обращением опасной продукции, и степени риска причинения вреда и (или) нанесения ущерба жизни и (или) здоровью человека, имуществу, окружающей среде, жизни и (или) здоровью животных и растений.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Информация о выявленных случаях причинения вреда, связанного с обращением опасной продукции, и (или) нанесения ущерба жизни и (или) здоровью человека, имуществу, окружающей среде, жизни и (или) здоровью животных и растений подлежит размещению в общих информационных ресурсах интегрированной информационной системы Союза.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Порядок представления, сбора, обобщения информации и ее размещения в общих информационных ресурсах интегрированной информационной системы Союза определяется Евразийской экономической комиссией.</w:t>
      </w:r>
    </w:p>
    <w:p w:rsidR="006A0238" w:rsidRDefault="006A0238" w:rsidP="00141987">
      <w:pPr>
        <w:pStyle w:val="Bodytext20"/>
        <w:shd w:val="clear" w:color="auto" w:fill="auto"/>
        <w:spacing w:before="0" w:after="120" w:line="240" w:lineRule="auto"/>
        <w:ind w:left="24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24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8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Споры между государствами-членами, связанные с применением и (или) толкованием настоящего Соглашения, разрешаются в порядке, определенном Договором.</w:t>
      </w:r>
    </w:p>
    <w:p w:rsidR="006A0238" w:rsidRDefault="006A0238" w:rsidP="00141987">
      <w:pPr>
        <w:pStyle w:val="Bodytext20"/>
        <w:shd w:val="clear" w:color="auto" w:fill="auto"/>
        <w:spacing w:before="0" w:after="120" w:line="240" w:lineRule="auto"/>
        <w:ind w:left="24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24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9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  <w:lang w:eastAsia="en-US" w:bidi="en-US"/>
        </w:rPr>
        <w:t>1.</w:t>
      </w:r>
      <w:r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  <w:lang w:eastAsia="en-US" w:bidi="en-US"/>
        </w:rPr>
        <w:t>2.</w:t>
      </w:r>
      <w:r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  <w:lang w:eastAsia="en-US" w:bidi="en-US"/>
        </w:rPr>
        <w:t>3.</w:t>
      </w:r>
      <w:r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Совершено в городе</w:t>
      </w:r>
      <w:r w:rsidRPr="00141987">
        <w:rPr>
          <w:rFonts w:ascii="Sylfaen" w:hAnsi="Sylfaen"/>
          <w:sz w:val="24"/>
          <w:lang w:eastAsia="en-US" w:bidi="en-US"/>
        </w:rPr>
        <w:t xml:space="preserve"> _____________ </w:t>
      </w:r>
      <w:r w:rsidRPr="00141987">
        <w:rPr>
          <w:rFonts w:ascii="Sylfaen" w:hAnsi="Sylfaen"/>
          <w:sz w:val="24"/>
        </w:rPr>
        <w:t>«____»</w:t>
      </w:r>
      <w:r w:rsidRPr="00141987">
        <w:rPr>
          <w:rFonts w:ascii="Sylfaen" w:hAnsi="Sylfaen"/>
          <w:sz w:val="24"/>
          <w:lang w:eastAsia="en-US" w:bidi="en-US"/>
        </w:rPr>
        <w:t xml:space="preserve"> ___________ </w:t>
      </w:r>
      <w:r w:rsidRPr="00141987">
        <w:rPr>
          <w:rFonts w:ascii="Sylfaen" w:hAnsi="Sylfaen"/>
          <w:sz w:val="24"/>
        </w:rPr>
        <w:t>2018 года в одном подлинном экземпляре на русском языке.</w:t>
      </w:r>
    </w:p>
    <w:p w:rsidR="00CE773F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lang w:val="en-US"/>
        </w:rPr>
      </w:pPr>
      <w:r w:rsidRPr="00141987">
        <w:rPr>
          <w:rFonts w:ascii="Sylfaen" w:hAnsi="Sylfaen"/>
          <w:sz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6A0238" w:rsidRPr="006A0238" w:rsidRDefault="006A0238" w:rsidP="00141987">
      <w:pPr>
        <w:pStyle w:val="Bodytext20"/>
        <w:shd w:val="clear" w:color="auto" w:fill="auto"/>
        <w:spacing w:before="0" w:after="120" w:line="240" w:lineRule="auto"/>
        <w:ind w:left="780" w:right="680" w:firstLine="720"/>
        <w:rPr>
          <w:rFonts w:ascii="Sylfaen" w:hAnsi="Sylfaen"/>
          <w:sz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2081"/>
        <w:gridCol w:w="2124"/>
        <w:gridCol w:w="2261"/>
        <w:gridCol w:w="2124"/>
      </w:tblGrid>
      <w:tr w:rsidR="00CE773F" w:rsidRPr="00141987" w:rsidTr="006A0238">
        <w:trPr>
          <w:jc w:val="center"/>
        </w:trPr>
        <w:tc>
          <w:tcPr>
            <w:tcW w:w="2221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Республику Армения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Республику Беларусь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Республику Казахстан</w:t>
            </w:r>
          </w:p>
        </w:tc>
        <w:tc>
          <w:tcPr>
            <w:tcW w:w="2261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Кыргызскую Республику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Fonts w:ascii="Sylfaen" w:hAnsi="Sylfaen"/>
                <w:sz w:val="24"/>
              </w:rPr>
              <w:t xml:space="preserve">За </w:t>
            </w:r>
            <w:r w:rsidRPr="00141987">
              <w:rPr>
                <w:rStyle w:val="Bodytext2Bold"/>
                <w:rFonts w:ascii="Sylfaen" w:hAnsi="Sylfaen"/>
                <w:sz w:val="24"/>
              </w:rPr>
              <w:t>Российскую Федерацию</w:t>
            </w:r>
          </w:p>
        </w:tc>
      </w:tr>
    </w:tbl>
    <w:p w:rsidR="00CE773F" w:rsidRPr="00141987" w:rsidRDefault="00CE773F" w:rsidP="007925BD">
      <w:pPr>
        <w:spacing w:after="120"/>
        <w:rPr>
          <w:rFonts w:ascii="Sylfaen" w:hAnsi="Sylfaen"/>
          <w:szCs w:val="2"/>
        </w:rPr>
      </w:pPr>
    </w:p>
    <w:sectPr w:rsidR="00CE773F" w:rsidRPr="00141987" w:rsidSect="00C00C30">
      <w:pgSz w:w="11909" w:h="16840" w:code="9"/>
      <w:pgMar w:top="1418" w:right="1419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3F" w:rsidRDefault="00974C3F" w:rsidP="00CE773F">
      <w:r>
        <w:separator/>
      </w:r>
    </w:p>
  </w:endnote>
  <w:endnote w:type="continuationSeparator" w:id="0">
    <w:p w:rsidR="00974C3F" w:rsidRDefault="00974C3F" w:rsidP="00CE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3F" w:rsidRDefault="00974C3F"/>
  </w:footnote>
  <w:footnote w:type="continuationSeparator" w:id="0">
    <w:p w:rsidR="00974C3F" w:rsidRDefault="00974C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A6F"/>
    <w:multiLevelType w:val="multilevel"/>
    <w:tmpl w:val="A5C03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71497"/>
    <w:multiLevelType w:val="multilevel"/>
    <w:tmpl w:val="4CBE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07240"/>
    <w:multiLevelType w:val="multilevel"/>
    <w:tmpl w:val="8592C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A6520"/>
    <w:multiLevelType w:val="multilevel"/>
    <w:tmpl w:val="AEEAD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E20F7"/>
    <w:multiLevelType w:val="multilevel"/>
    <w:tmpl w:val="9E883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C7156"/>
    <w:multiLevelType w:val="multilevel"/>
    <w:tmpl w:val="9DA40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B1BA4"/>
    <w:multiLevelType w:val="multilevel"/>
    <w:tmpl w:val="323A3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777E71"/>
    <w:multiLevelType w:val="multilevel"/>
    <w:tmpl w:val="00809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C04883"/>
    <w:multiLevelType w:val="multilevel"/>
    <w:tmpl w:val="11DED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A44F2"/>
    <w:multiLevelType w:val="multilevel"/>
    <w:tmpl w:val="77A69AF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DB6461"/>
    <w:multiLevelType w:val="multilevel"/>
    <w:tmpl w:val="36B06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6B6306"/>
    <w:multiLevelType w:val="multilevel"/>
    <w:tmpl w:val="3C46D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E47E40"/>
    <w:multiLevelType w:val="multilevel"/>
    <w:tmpl w:val="57028242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825F5"/>
    <w:multiLevelType w:val="multilevel"/>
    <w:tmpl w:val="E6643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3562A"/>
    <w:multiLevelType w:val="multilevel"/>
    <w:tmpl w:val="8F949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B4E68"/>
    <w:multiLevelType w:val="multilevel"/>
    <w:tmpl w:val="55ECC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C21D13"/>
    <w:multiLevelType w:val="multilevel"/>
    <w:tmpl w:val="3DA09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155A2"/>
    <w:multiLevelType w:val="multilevel"/>
    <w:tmpl w:val="E6109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007AE"/>
    <w:multiLevelType w:val="multilevel"/>
    <w:tmpl w:val="C074A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D52DC"/>
    <w:multiLevelType w:val="multilevel"/>
    <w:tmpl w:val="19BEFDA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A5493"/>
    <w:multiLevelType w:val="multilevel"/>
    <w:tmpl w:val="9530E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2F56C6"/>
    <w:multiLevelType w:val="multilevel"/>
    <w:tmpl w:val="7AB28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760E30"/>
    <w:multiLevelType w:val="multilevel"/>
    <w:tmpl w:val="10F6FFA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61E60"/>
    <w:multiLevelType w:val="multilevel"/>
    <w:tmpl w:val="F06C0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EB086C"/>
    <w:multiLevelType w:val="multilevel"/>
    <w:tmpl w:val="A8D22472"/>
    <w:lvl w:ilvl="0">
      <w:start w:val="9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5F3069"/>
    <w:multiLevelType w:val="multilevel"/>
    <w:tmpl w:val="DA601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034C16"/>
    <w:multiLevelType w:val="multilevel"/>
    <w:tmpl w:val="55AC06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C4D07"/>
    <w:multiLevelType w:val="multilevel"/>
    <w:tmpl w:val="789EB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94E00"/>
    <w:multiLevelType w:val="multilevel"/>
    <w:tmpl w:val="43545CB4"/>
    <w:lvl w:ilvl="0">
      <w:start w:val="1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0B3A5F"/>
    <w:multiLevelType w:val="multilevel"/>
    <w:tmpl w:val="1A28A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AF4AB6"/>
    <w:multiLevelType w:val="multilevel"/>
    <w:tmpl w:val="BFD4A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FB0D8F"/>
    <w:multiLevelType w:val="multilevel"/>
    <w:tmpl w:val="B3E2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ED09DF"/>
    <w:multiLevelType w:val="multilevel"/>
    <w:tmpl w:val="AEC8B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1C19A4"/>
    <w:multiLevelType w:val="multilevel"/>
    <w:tmpl w:val="CD3E4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D10631"/>
    <w:multiLevelType w:val="multilevel"/>
    <w:tmpl w:val="71E87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992CF2"/>
    <w:multiLevelType w:val="multilevel"/>
    <w:tmpl w:val="E36C4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DF5B8C"/>
    <w:multiLevelType w:val="multilevel"/>
    <w:tmpl w:val="81344194"/>
    <w:lvl w:ilvl="0">
      <w:start w:val="1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7878AB"/>
    <w:multiLevelType w:val="multilevel"/>
    <w:tmpl w:val="F1F87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E01982"/>
    <w:multiLevelType w:val="multilevel"/>
    <w:tmpl w:val="ACF250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8"/>
  </w:num>
  <w:num w:numId="5">
    <w:abstractNumId w:val="5"/>
  </w:num>
  <w:num w:numId="6">
    <w:abstractNumId w:val="27"/>
  </w:num>
  <w:num w:numId="7">
    <w:abstractNumId w:val="25"/>
  </w:num>
  <w:num w:numId="8">
    <w:abstractNumId w:val="34"/>
  </w:num>
  <w:num w:numId="9">
    <w:abstractNumId w:val="10"/>
  </w:num>
  <w:num w:numId="10">
    <w:abstractNumId w:val="11"/>
  </w:num>
  <w:num w:numId="11">
    <w:abstractNumId w:val="37"/>
  </w:num>
  <w:num w:numId="12">
    <w:abstractNumId w:val="32"/>
  </w:num>
  <w:num w:numId="13">
    <w:abstractNumId w:val="14"/>
  </w:num>
  <w:num w:numId="14">
    <w:abstractNumId w:val="29"/>
  </w:num>
  <w:num w:numId="15">
    <w:abstractNumId w:val="7"/>
  </w:num>
  <w:num w:numId="16">
    <w:abstractNumId w:val="4"/>
  </w:num>
  <w:num w:numId="17">
    <w:abstractNumId w:val="0"/>
  </w:num>
  <w:num w:numId="18">
    <w:abstractNumId w:val="13"/>
  </w:num>
  <w:num w:numId="19">
    <w:abstractNumId w:val="3"/>
  </w:num>
  <w:num w:numId="20">
    <w:abstractNumId w:val="21"/>
  </w:num>
  <w:num w:numId="21">
    <w:abstractNumId w:val="38"/>
  </w:num>
  <w:num w:numId="22">
    <w:abstractNumId w:val="33"/>
  </w:num>
  <w:num w:numId="23">
    <w:abstractNumId w:val="30"/>
  </w:num>
  <w:num w:numId="24">
    <w:abstractNumId w:val="15"/>
  </w:num>
  <w:num w:numId="25">
    <w:abstractNumId w:val="2"/>
  </w:num>
  <w:num w:numId="26">
    <w:abstractNumId w:val="18"/>
  </w:num>
  <w:num w:numId="27">
    <w:abstractNumId w:val="16"/>
  </w:num>
  <w:num w:numId="28">
    <w:abstractNumId w:val="17"/>
  </w:num>
  <w:num w:numId="29">
    <w:abstractNumId w:val="6"/>
  </w:num>
  <w:num w:numId="30">
    <w:abstractNumId w:val="35"/>
  </w:num>
  <w:num w:numId="31">
    <w:abstractNumId w:val="26"/>
  </w:num>
  <w:num w:numId="32">
    <w:abstractNumId w:val="31"/>
  </w:num>
  <w:num w:numId="33">
    <w:abstractNumId w:val="9"/>
  </w:num>
  <w:num w:numId="34">
    <w:abstractNumId w:val="22"/>
  </w:num>
  <w:num w:numId="35">
    <w:abstractNumId w:val="12"/>
  </w:num>
  <w:num w:numId="36">
    <w:abstractNumId w:val="19"/>
  </w:num>
  <w:num w:numId="37">
    <w:abstractNumId w:val="24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73F"/>
    <w:rsid w:val="00033FA3"/>
    <w:rsid w:val="00141987"/>
    <w:rsid w:val="002D1FD3"/>
    <w:rsid w:val="00352716"/>
    <w:rsid w:val="006A0238"/>
    <w:rsid w:val="007925BD"/>
    <w:rsid w:val="008E4D74"/>
    <w:rsid w:val="00974C3F"/>
    <w:rsid w:val="00A51309"/>
    <w:rsid w:val="00C00C30"/>
    <w:rsid w:val="00CC316A"/>
    <w:rsid w:val="00CE773F"/>
    <w:rsid w:val="00E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F41B0-0240-46FA-B487-AC95866A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E773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773F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E773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">
    <w:name w:val="Body text (2) + Arial"/>
    <w:aliases w:val="12 pt"/>
    <w:basedOn w:val="Bodytext2"/>
    <w:rsid w:val="00CE77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CE7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1">
    <w:name w:val="Body text (2) + 14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0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4pt0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">
    <w:name w:val="Body text (2) + Sylfaen"/>
    <w:basedOn w:val="Bodytext2"/>
    <w:rsid w:val="00CE773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1">
    <w:name w:val="Body text (2) + 12 pt"/>
    <w:aliases w:val="Small Caps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2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-2pt">
    <w:name w:val="Body text (2) + Spacing -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1pt">
    <w:name w:val="Body text (2) + 11 pt"/>
    <w:aliases w:val="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CE773F"/>
    <w:pPr>
      <w:shd w:val="clear" w:color="auto" w:fill="FFFFFF"/>
      <w:spacing w:before="420" w:after="420" w:line="346" w:lineRule="exact"/>
      <w:ind w:hanging="24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E773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CE773F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E773F"/>
    <w:pPr>
      <w:shd w:val="clear" w:color="auto" w:fill="FFFFFF"/>
      <w:spacing w:after="120" w:line="0" w:lineRule="atLeast"/>
      <w:ind w:hanging="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C44C00-C7EE-40E1-9A0B-15233CDE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Arpine Khachatryan</cp:lastModifiedBy>
  <cp:revision>3</cp:revision>
  <dcterms:created xsi:type="dcterms:W3CDTF">2018-08-03T13:35:00Z</dcterms:created>
  <dcterms:modified xsi:type="dcterms:W3CDTF">2019-10-14T06:14:00Z</dcterms:modified>
</cp:coreProperties>
</file>