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4C" w:rsidRPr="00C93473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93473">
        <w:rPr>
          <w:rFonts w:ascii="Sylfaen" w:hAnsi="Sylfaen"/>
          <w:sz w:val="24"/>
          <w:szCs w:val="24"/>
        </w:rPr>
        <w:t>ПРИНЯТ</w:t>
      </w:r>
    </w:p>
    <w:p w:rsidR="00937BFE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C93473">
        <w:rPr>
          <w:rFonts w:ascii="Sylfaen" w:hAnsi="Sylfaen"/>
          <w:sz w:val="24"/>
          <w:szCs w:val="24"/>
        </w:rPr>
        <w:t>Решением Совета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83C4C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C93473">
        <w:rPr>
          <w:rFonts w:ascii="Sylfaen" w:hAnsi="Sylfaen"/>
          <w:sz w:val="24"/>
          <w:szCs w:val="24"/>
        </w:rPr>
        <w:t>от 17 мая 2017 г. № 21</w:t>
      </w:r>
    </w:p>
    <w:p w:rsidR="00937BFE" w:rsidRPr="00937BFE" w:rsidRDefault="00937BFE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262F9" w:rsidRPr="002262F9" w:rsidRDefault="00C93473" w:rsidP="002262F9">
      <w:pPr>
        <w:pStyle w:val="Bodytext30"/>
        <w:shd w:val="clear" w:color="auto" w:fill="auto"/>
        <w:spacing w:line="240" w:lineRule="auto"/>
        <w:ind w:left="567" w:right="56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C9347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ТЕХНИЧЕСКИЙ РЕГЛАМЕНТ</w:t>
      </w:r>
    </w:p>
    <w:p w:rsidR="00083C4C" w:rsidRPr="002262F9" w:rsidRDefault="00C93473" w:rsidP="002262F9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Евразийского экономического союза</w:t>
      </w:r>
      <w:r w:rsidR="002262F9" w:rsidRPr="002262F9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«О безопасности оборудования для детских</w:t>
      </w:r>
      <w:r w:rsidR="002262F9" w:rsidRPr="002262F9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игровых площадок» (ТР ЕАЭС 042/2017)</w:t>
      </w:r>
    </w:p>
    <w:p w:rsidR="00C93473" w:rsidRPr="002262F9" w:rsidRDefault="00C93473" w:rsidP="00C93473">
      <w:pPr>
        <w:pStyle w:val="Bodytext30"/>
        <w:shd w:val="clear" w:color="auto" w:fill="auto"/>
        <w:spacing w:line="240" w:lineRule="auto"/>
        <w:ind w:right="200"/>
        <w:rPr>
          <w:rFonts w:ascii="Sylfaen" w:hAnsi="Sylfaen"/>
          <w:sz w:val="24"/>
          <w:szCs w:val="24"/>
        </w:rPr>
      </w:pPr>
    </w:p>
    <w:p w:rsidR="00083C4C" w:rsidRPr="00C93473" w:rsidRDefault="00C93473" w:rsidP="00C9347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I.</w:t>
      </w:r>
      <w:r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Область применения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Настоящий технический регламент устанавливает требования к безопасности оборудования и (или) покрытия для детских игровых площадок и связанным с ними процессам проектирования, производства, монтажа, эксплуатации, хранения, перевозки и утилизации.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Настоящий технический регламент распространяется на оборудование и (или) покрытие для детских игровых площадок, впервые выпускаемые в обращение на таможенной территории Евразийского экономического союза (далее - Союз) и размещенные на открытых территориях или в закрытых помещениях, по перечню согласно приложению № 1.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Настоящий технический регламент разработан в целях защиты жизни и (или) здоровья человека, имущества, окружающей среды, предупреждения действий, вводящих потребителей в заблуждение.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Настоящий технический регламент не распространяется на: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 для детских игровых площадок, произведенные и введенные в эксплуатацию до вступления настоящего технического регламента в силу;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спортивное оборудование и изделия, предназначенные для тренировок и занятий физической культурой, спортом и туризмом;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аттракционы, на которые распространяется действие технического регламента Евразийского экономического союза «О безопасности аттракционов» (ТР ЕАЭС 038/2016), принятого Решением Совета Евразийской экономической комиссии от 18 октября 2016 г. № 114;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игрушки.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 случае если в отношении оборудования и (или) покрытия для детских игровых площадок приняты иные технические регламенты Союза (Таможенного союза), устанавливающие требования к ним, то такие оборудование и (или) покрытие должны соответствовать требованиям всех технических регламентов Союза (Таможенного союза), действие которых на них распространяется.</w:t>
      </w:r>
    </w:p>
    <w:p w:rsidR="00083C4C" w:rsidRPr="00C93473" w:rsidRDefault="00C93473" w:rsidP="00C9347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II.</w:t>
      </w:r>
      <w:r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Основные понятия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целей применения настоящего технического регламента используются понятия, предусмотренные Протоколом о техническом регулировании в рамках Евразийского экономического союза (приложение № 9 к Договору о Евразийском экономическом союзе от 29 мая 2014 года), а также понятия, которые означают следующее: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«возрастная группа» - группа детей определенного возраста, имеющих схожие рост, вес, физическую силу и уровень интеллектуального развития;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«детская игровая площадка» - специально оборудованная территория, предназначенная для игры детей, включающая в себя соответствующие оборудование и покрытие;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«детский городок (игровой комплекс)» - многофункциональное оборудование для детской игровой площадки, состоящее из нескольких конструкций;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«жизненный цикл оборудования и (или) покрытия» - временной период от начала проектирования до завершения эксплуатации оборудования и (или) покрытия, включающий в себя в том числе производство, хранение, перевозку, монтаж, модернизацию, ремонт, техническое обслуживание и утилизацию;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«зона падения» - поверхность, на которую может попасть пользователь после падения с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«зона приземления» - зона детской игровой площадки, в которой осуществляются торможение и остановка ребенка;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«критическая высота падения» - максимальная высота падения с оборудования, при которой покрытие обеспечивает необходимый уровень демпфирования удара;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«назначенный срок службы» - продолжительность эксплуатации оборудования, и (или) покрытия, и (или) их незаменяемых частей, при достижении которой эксплуатация оборудования и (или) покрытия должна быть прекращена независимо от их технического состояния;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«оборудование» - оборудование, установленное на детской игровой площадке, с которым или на котором дети могут играть индивидуально или группой по своему усмотрению и правилам;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«паспорт» - эксплуатационный документ, определяющий правила эксплуатации оборудования и отражающий сведения, удостоверяющие гарантированные изготовителем значения основных параметров и характеристик (свойств) оборудования, гарантии и сведения о его эксплуатации в течение назначенного срока службы;</w:t>
      </w:r>
    </w:p>
    <w:p w:rsidR="00083C4C" w:rsidRPr="002262F9" w:rsidRDefault="00083C4C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  <w:sectPr w:rsidR="00083C4C" w:rsidRPr="002262F9" w:rsidSect="00C93473"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«покрытие» - участок поверхности детской игровой площадки размером не менее зоны приземления, используемый совместно с оборудованием;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«пользователь» - ребенок, использующий по назначению оборудование и (или) покрытие, и лицо, осуществляющее присмотр за ним;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«продавец» - являющиеся резидентами государства - члена Союза юридическое лицо или физическое лицо, зарегистрированное в качестве индивидуального предпринимателя, которые осуществляют реализацию оборудования и (или) покрытия и несут ответственность за их соответствие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«ребенок» - пользователь детской игровой площадкой в возрасте до 14 лет;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«ремонт» - комплекс операций по восстановлению оборудования и (или) покрытия в целях обеспечения их исправности или работоспособности;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«тип оборудования и (или) покрытия» - изделия, имеющие несущественные отличия и произведенные с применением типовой технической документации и типовых технологических процессов;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«ударопоглощающее покрытие» - покрытие, обладающее амортизационными свойствами;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«эксплуатант» - юридическое или физическое лицо (в том числе физическое лицо, зарегистрированное в качестве индивидуального предпринимателя), осуществляющие эксплуатацию оборудования и (или) покрытия и обеспечивающие их соответствие требованиям настоящего технического регламента с момента ввода в эксплуатацию детской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«эксплуатация оборудования и (или) покрытия» - стадия жизненного цикла с момента ввода в эксплуатацию оборудования и (или) покрытия до их утилизации.</w:t>
      </w:r>
    </w:p>
    <w:p w:rsidR="002262F9" w:rsidRDefault="002262F9" w:rsidP="00C93473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083C4C" w:rsidRPr="00C93473" w:rsidRDefault="00C93473" w:rsidP="00C93473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III. Правила идентификации оборудования и (или) покрытия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целей отнесения оборудования и (или) покрытия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оборудования и (или) покрытия.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Идентификация оборудования и (или) покрытия осуществляется по их наименованию и (или) документации визуальным методом.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9.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 xml:space="preserve">Для идентификации оборудования и (или) покрытия в целях применения настоящего технического регламента используются товаросопроводительная документация, техническая документация (конструкторская документация, паспорт) и (или) маркировка. В качестве товаросопроводительной документации могут быть использованы договоры поставки, и (или) спецификации, и (или) этикетки, и (или) </w:t>
      </w:r>
      <w:r w:rsidRPr="00C93473">
        <w:rPr>
          <w:rFonts w:ascii="Sylfaen" w:hAnsi="Sylfaen"/>
          <w:sz w:val="24"/>
          <w:szCs w:val="24"/>
        </w:rPr>
        <w:lastRenderedPageBreak/>
        <w:t>аннотации, а также другие документы, характеризующие оборудование и (или) покрытие.</w:t>
      </w:r>
    </w:p>
    <w:p w:rsidR="00C93473" w:rsidRPr="002262F9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083C4C" w:rsidRPr="00C93473" w:rsidRDefault="00C93473" w:rsidP="00C93473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IV. Правила обращения оборудования и (или) покрытия на рынке Союза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10.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 выпускаются в обращение на рынке Союза при их соответствии требованиям настоящего технического регламента и других технических регламентов Союза (Таможенного союза), действие которых распространяется на данное оборудование и (или) покрытие, и при условии, что они прошли оценку соответствия требованиям настоящего технического регламента согласно разделу IX настоящего технического регламента и другим техническим регламентам Союза (Таможенного союза), действие которых на них распространяется.</w:t>
      </w:r>
    </w:p>
    <w:p w:rsidR="00083C4C" w:rsidRPr="00937BFE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покрытие, соответствие которых требованиям настоящего технического регламента не подтверждено, не маркируются единым знаком обращения продукции на рынке Союза и не допускаются к выпуску в обращение на рынке Союза.</w:t>
      </w:r>
    </w:p>
    <w:p w:rsidR="00C93473" w:rsidRPr="00937BFE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083C4C" w:rsidRPr="00C93473" w:rsidRDefault="00C93473" w:rsidP="00C93473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V. Требования безопасности к оборудованию и (или) покрытию при проектировании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проектировании оборудования и (или) покрытия необходимо обеспечить: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соответствие конструкторской документации требованиям безопасности настоящего технического регламента и других технических регламентов Союза (Таможенного союза), если в них содержатся требования безопасности, применимые к оборудованию и (или) покрытию;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проведение комплекса необходимых расчетов и испытаний, основанных на аттестованных в установленном порядке методиках;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выбор материалов (сырья), применяемых при производстве оборудования и (или) покрытия, в зависимости от параметров и условий их эксплуатации;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установление критериев предельных состояний;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установление назначенных сроков службы, сроков технического обслуживания и ремонта;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выявление всех опасностей, связанных с возможной предсказуемой неправильной эксплуатацией оборудования и (или) покрытия;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ж)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установление ограничений по эксплуатации оборудования и (или) покрытия.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 xml:space="preserve">Риск при эксплуатации оборудования и (или) покрытия необходимо </w:t>
      </w:r>
      <w:r w:rsidRPr="00C93473">
        <w:rPr>
          <w:rFonts w:ascii="Sylfaen" w:hAnsi="Sylfaen"/>
          <w:sz w:val="24"/>
          <w:szCs w:val="24"/>
        </w:rPr>
        <w:lastRenderedPageBreak/>
        <w:t>рассчитывать с учетом целевой возрастной группы.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Разработка паспорта является неотъемлемой частью проектирования оборудования.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VI.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Требования безопасности к оборудованию и (или) покрытию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производстве оборудования и его элементов должно быть обеспечено их соответствие требованиям конструкторской документации и настоящего технического регламента.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производстве оборудования и его элементов изготовитель должен выполнять весь комплекс мер по обеспечению безопасности, определенных конструкторской документацией, при этом должна быть обеспечена возможность контроля выполнения всех технологических операций, от которых зависит безопасность.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Паспорт оборудования после ввода его в эксплуатацию хранится у эксплуатанта.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Материалы, применяемые при производстве оборудования и (или) покрытия, не должны: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оказывать вредное воздействие на здоровье людей и окружающую среду в процессе эксплуатации;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вызывать термический ожог при контакте с кожей пользователя в климатических зонах с очень высокими или очень низкими температурами;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относиться к легковоспламеняющимся материалам;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относиться к чрезвычайно опасным по токсичности продуктам горения;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относиться к материалам, свойства которых недостаточно изучены.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19.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Показатели гигиенической безопасности материалов, применяемых при производстве оборудования и (или) покрытия, должны соответствовать требованиям, указанным в приложении № 2 к настоящему техническому регламенту.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20.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 должны быть произведены таким образом, чтобы при применении по назначению они не представляли опасности для жизни и здоровья пользователей.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его элементы должны быть сконструированы таким образом, чтобы: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соответствовать возрастной группе детей, для которых они предназначены;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был очевиден и легко распознаваем ребенком возможный риск при игре;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лица, присматривающие за детьми, имели возможность доступа внутрь оборудования для оказания помощи детям;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не допускалось скопление воды на поверхности оборудования и обеспечивались свободный сток и просыхание;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д)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обеспечивались доступность и удобство очистки от пыли, грязи и мусора.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Возрастные группы (по росту и весу) и показатели прочности оборудования и его элементов указываются в паспорте на оборудование конкретного вида.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Конструкция оборудования: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обеспечивать прочность, устойчивость, жесткость и неизменяемость;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иметь защиту от коррозии и старения с учетом степени агрессивности среды и стойкости используемых материалов;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не должна иметь выступающих элементов с острыми концами или кромками;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не должна иметь шероховатых поверхностей, способных нанести травму пользователю;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 должна иметь защиту выступающих концов болтовых соединений;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иметь гладкие сварные швы;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ж)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иметь закругленные углы и края любой доступной для пользователей части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з)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исключать возможность демонтажа без применения специализированных инструментов;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и)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иметь защиту от несанкционированного доступа к элементам (комплектующим) оборудования, подлежащим периодическому обслуживанию или замене;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к) должна иметь размеры поперечного сечения элементов оборудования для захвата, при которых обеспечивается возможность захвата детьми;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л)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исключать образование сдавливающих или режущих поверхностей между подвижными, а также подвижными и неподвижными элементами;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м)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обеспечивать безопасные расстояния между подвижными элементами оборудования и поверхностью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иметь оснащение перилами и ограждениями;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о)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не должна допускать застревание тела, частей тела или одежды ребенка;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должна обладать необходимой несущей способностью к возникающим нагрузкам.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Закрытое оборудование (тоннели, игровые домики и т. п.)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при необходимости оказание помощи детям без каких- либо дополнительных средств.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 всей зоне приземления с оборудования должны быть установлены ударопоглощающие покрытия.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26.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Высота свободного падения с оборудования должна учитывать тип ударопоглощающего покрытия и возможные перемещения ребенка и элементов конструкции оборудования и должна составлять не более 3 метров от поверхности, на которую пользователь опирается ногами, до зоны приземления и не более 4 метров от уровня захвата руками до зоны приземления.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Границы зоны приземления должны учитывать возможные перемещения ребенка и элементов конструкции.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Поверхности платформ, проходов, трапов и лестниц должны исключать скольжение при любых погодных условиях.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Ударопоглощающее покрытие не должно иметь опасных выступов.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29.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применении в качестве ударопоглощающего покрытия несыпучих материалов оно не должно иметь участков, на которых возможно застревание частей тела или одежды ребенка.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30.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Ударопоглощающее покрытие должно сохранять свои свойства вне зависимости от климатических условий.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Под оборудованием с высотой свободного падения более 60 см ударопоглощающее покрытие оборудуется по всей зоне приземления.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Критическая высота падения должна быть равной высоте свободного падения с оборудования или превышать такую высоту.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 должны иметь назначенный срок службы, который устанавливается согласно пункту 12 настоящего технического регламента.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Упаковка оборудования и (или) покрытия или соответствующая товаросопроводительная документация должна содержать наименование изготовителя и (или) его товарный знак, наименование и обозначение оборудования и (или) покрытия, сведения о возрастной группе, назначенный срок службы, обозначение документа, в соответствии с которым произведены оборудование и (или) покрытие конкретного вида.</w:t>
      </w:r>
    </w:p>
    <w:p w:rsidR="00083C4C" w:rsidRPr="002262F9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Такая информация указывается на русском языке и при наличии соответствующих требований в законодательстве государства - члена Союза (далее - государство-член) на государственном (государственных) языке (языках) государства-члена, на территории которого реализуются оборудование и (или) покрытие.</w:t>
      </w:r>
    </w:p>
    <w:p w:rsidR="00C93473" w:rsidRPr="00C93473" w:rsidRDefault="00C93473" w:rsidP="00C93473">
      <w:pPr>
        <w:pStyle w:val="Bodytext20"/>
        <w:shd w:val="clear" w:color="auto" w:fill="auto"/>
        <w:spacing w:before="0" w:after="120" w:line="240" w:lineRule="auto"/>
        <w:ind w:left="360" w:right="200" w:firstLine="700"/>
        <w:rPr>
          <w:rFonts w:ascii="Sylfaen" w:hAnsi="Sylfaen"/>
          <w:sz w:val="24"/>
          <w:szCs w:val="24"/>
          <w:lang w:val="en-US"/>
        </w:rPr>
      </w:pP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1134" w:right="1135" w:hanging="9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VII. Обеспечение безопасности оборудования и (или) покрытия при их монтаже, эксплуатации, перевозке, хранении и (или) утилизации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Информация о характеристиках и безопасной эксплуатации оборудования должна быть указана в паспорте.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36.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Паспорт должен содержать следующую информацию: основные сведения об оборудовании (наименование и место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нахождения (адрес) изготовителя (уполномоченного изготовителем лица), обозначение документа, в соответствии с которым произведено оборудование);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основные технические данные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комплектность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 приемке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об упаковке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гарантийные обязательства изготовителя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 хранении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 перевозке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 консервации и расконсервации оборудования при эксплуатации;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рекомендуемый тип покрытия;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об учете неисправностей оборудования при эксплуатации;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об учете технического обслуживания оборудования; сведения о ремонте, включая перечень деталей и частей оборудования, которые подвержены большим нагрузкам в процессе эксплуатации оборудования, а также срок и случаи их замены; инструкция по монтажу оборудования; правила безопасной эксплуатации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инструкция по осмотру и проверке оборудования перед началом эксплуатации;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инструкция по осмотру, обслуживанию и ремонту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об утилизации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месяц и год производства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сведения о возрастных группах (включая ограничения по весу и росту);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назначенный срок службы;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особые отметки (при необходимости);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фото или графический рисунок (при необходимости цветные)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чертеж общего вида оборудования с указанием основных размеров;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схема сборки оборудования;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схема (план) зоны падения.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Паспорт оформляется на русском языке и при наличии соответствующих требований в законодательстве государства-члена на государственном (государственных) языке (языках) государства- члена, на территории которого реализуется оборудование.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37.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Монтаж оборудования и (или) покрытия должен выполняться в соответствии с инструкцией по монтажу, которая должна содержать следующую информацию: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размеры минимального пространства для размещения оборудования и безопасное расстояние между оборудованием и поверхностью детской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порядок монтажа оборудования и (или) покрытия;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необходимые обозначения, облегчающие сборку (например, метки на сборочных частях оборудования и подробные инструкции);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 перечень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необходимых специальных приспособлений и инструментов для монтажа оборудования и (или) покрытия (подъемных устройств, шаблонов, калибров, лекал и т. п.), а также мер предосторожности при монтаже оборудования и (или) покрытия;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 значения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момента затяжки резьбовых соединений (при необходимости);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размеры участка для установки оборудования конкретного вида;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ж)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ориентация оборудования и его элементов в целях защиты от воздействия климатических условий (солнца, ветра (при необходимости));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з)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требования к фундаменту, описание конструкции и схема размещения фундамента, требования к анкерному креплению;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и)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описание особенностей ландшафта для обеспечения безопасной эксплуатации оборудования и (или) покрытия;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высота свободного падения (при выборе ударопоглощающего покрытия);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л)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требование к окраске или специальной пропитке оборудования или его элементов (при необходимости);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м)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требование к удалению элементов упаковки перед вводом оборудования в эксплуатацию.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должно быть установлено таким образом, чтобы обеспечить безопасность пользователей.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При установке оборудования должны учитываться зоны падения и зоны приземления, определенные для соседнего оборудования.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39.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Конструкция оборудования может предусматривать беспрепятственный доступ на детскую игровую площадку детей с ограниченными возможностями и обеспечивать безопасность их пребывания на детской игровой площадке.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40.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применении в качестве ударопоглощающего покрытия на детской игровой площадке сыпучих материалов толщину такого покрытия увеличивают (по сравнению с необходимой толщиной) на величину, достаточную для компенсации вытеснения данного материала.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41.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Ввод в эксплуатацию оборудования и (или) покрытия осуществляется в порядке, установленном законодательством государств-членов.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Эксплуатация оборудования и (или) покрытия осуществляется эксплуатантом в соответствии с требованиями настоящего технического регламента и правилами безопасной эксплуатации, установленными паспортом.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Техническое обслуживание и ремонт оборудования осуществляются в соответствии с паспортом.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 истечении назначенного срока службы эксплуатация оборудования должна быть прекращена независимо от технического состояния оборудования.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обеспечения безопасности оборудования внесение эксплуатантом в конструкцию оборудования изменений, влияющих на безопасность его конструкции или элементов, не допускается.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На детской игровой площадке должна быть размещена информация в виде таблички (пиктограммы), содержащая: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правила пользования оборудованием и сведения о возрастных группах (включая ограничения по росту и весу);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номера телефонов службы спасения, скорой помощи;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номера телефонов эксплуатанта, по которым следует обращаться в случае неисправности или поломки оборудования.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 процессе эксплуатации оборудования должны соблюдаться ограничения по росту и весу, указанные в паспорте.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Перевозка и хранение оборудования и его элементов должны осуществляться с учетом требований настоящего технического регламента и сведений, указанных в паспорте.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Утилизация оборудования осуществляется в соответствии с паспортом.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Особенности утилизации оборудования могут устанавливаться законодательством государств-членов в области охраны окружающей среды.</w:t>
      </w:r>
    </w:p>
    <w:p w:rsidR="0070042C" w:rsidRPr="002262F9" w:rsidRDefault="0070042C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VIII.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Обеспечение соответствия оборудования и (или) покрытия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требованиям безопасности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49.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Соответствие оборудования и (или) покрытия настоящему техническому регламенту обеспечивается выполнением следующих требований: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требования гигиенической безопасности, установленные приложением № 2 к настоящему техническому регламенту;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 xml:space="preserve">требования безопасности, установленные настоящим техническим регламентом (за исключением требований, указанных в подпункте «а» настоящего пункта), либо требования стандартов, включенных в перечень стандартов, в </w:t>
      </w:r>
      <w:r w:rsidRPr="00C93473">
        <w:rPr>
          <w:rFonts w:ascii="Sylfaen" w:hAnsi="Sylfaen"/>
          <w:sz w:val="24"/>
          <w:szCs w:val="24"/>
        </w:rPr>
        <w:lastRenderedPageBreak/>
        <w:t>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50.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Методы исследований (испытаний) и измерений оборудования и (или) покрытия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необходимые для применения и исполнения требований настоящего технического регламента и осуществления оценки соответствия оборудования и (или) покрытия.</w:t>
      </w:r>
    </w:p>
    <w:p w:rsidR="0070042C" w:rsidRPr="00937BFE" w:rsidRDefault="0070042C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IX.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Оценка соответствия оборудования и (или) покрытия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покрытие, выпускаемые в обращение на рынке Союза, подлежат оценке соответствия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Оценка соответствия оборудования и (или) покрытия требованиям настоящего технического регламента проводится в формах подтверждения соответствия и оценки технического состояния (технического освидетельствования).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Подтверждение соответствия оборудования и (или) покрытия требованиям настоящего технического регламента (далее - подтверждение соответствия) осуществляется в форме сертификации или декларирования соответствия.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подтверждении соответствия заявителями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изготовителями или продавцами либо уполномоченными изготовителем лицами.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 по перечню согласно приложению № 3 подлежат подтверждению соответствия в форме сертификации по следующим схемам: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оборудования и (или) покрытия, выпускаемых серийно, - схемы 1с и 2с;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партии оборудования и (или) покрытия - схема 3с;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единичного изделия - схема 4с.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 по перечню согласно приложению № 4 подлежат подтверждению соответствия в форме декларирования соответствия по следующим схемам: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оборудования и (или) покрытия, выпускаемых серийно, - схемы 1д и Зд;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партии (единичного изделия) оборудования и (или) покрытия - схемы 2д и 4д.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57.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сертификации оборудования и (или) покрытия заявителем может быть: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схем 1с и 2с - изготовитель (уполномоченное изготовителем лицо);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схем Зс и 4с - изготовитель (уполномоченное изготовителем лицо) или продавец.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Выбор схемы сертификации оборудования и (или) покрытия осуществляется заявителем.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59.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сертификации оборудования и (или) покрытия заявитель: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предпринимает все необходимые меры, чтобы процесс производства был стабильным и обеспечивал соответствие производимых оборудования и (или) покрытия требованиям настоящего технического регламента (схемы 1с и 2с);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формирует техническую документацию, в том числе: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паспорт (для оборудования);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конструкторскую документацию (схемы 1с и 2с);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документ, по которому изготовлено оборудование и (или) покрытие (схемы 1с и 2с);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результаты прочностных расчетов оборудования и (или) покрытия;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протокол (протоколы) испытаний оборудования и (или) покрытия, проведенных изготовителем в аккредитованной испытательной лаборатории (центре), включенной в Единый реестр органов по оценке соответствия Евразийского экономического союза (далее - испытательная лаборатория (центр));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документ о подтверждении характеристик материалов и комплектующих изделий (при наличии);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сертификаты соответствия и декларации о соответствии или протокол (протоколы) испытаний в отношении материалов и комплектующих изделий (при наличии);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перечень стандартов, указанных в разделе VIII настоящего технического регламента, которые применялись при производстве (в случае их применения изготовителем);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сертификат на систему менеджмента (копию сертификата) (схема 2с);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контракт (договор на поставку) и товаросопроводительную документацию для партии и единичного изделия оборудования и (или) покрытия (схемы Зс и 4с);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 xml:space="preserve">подает заявку на сертификацию оборудования и (или) покрытия с </w:t>
      </w:r>
      <w:r w:rsidRPr="00C93473">
        <w:rPr>
          <w:rFonts w:ascii="Sylfaen" w:hAnsi="Sylfaen"/>
          <w:sz w:val="24"/>
          <w:szCs w:val="24"/>
        </w:rPr>
        <w:lastRenderedPageBreak/>
        <w:t>приложением технической документации, предусмотренной подпунктом «б» настоящего пункта, в аккредитованный орган по сертификации, включенный в Единый реестр органов по оценке соответствия Евразийского экономического союза (далее - орган по сертификации).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 заявке указывается документ, на соответствие которому сертифицирована система менеджмента (схема 2с).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 заявке должны содержаться идентифицирующие признаки партии (размер партии, реквизиты товаросопроводительной документации, идентифицирующей эту партию) и входящих в нее единиц оборудования и (или) покрытия (наименование, тип, вид и др. (при наличии)) (схемы Зс и 4с);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наносит единый знак обращения продукции на рынке Союза после завершения процедуры подтверждения соответствия;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извещает в письменной форме орган по сертификации о внесении изменений в конструкцию оборудования и (или) покрытия или технологию их производства, которые могут повлиять на соответствие оборудования и (или) покрытия требованиям настоящего технического регламента (схема 1с);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формирует после завершения процедуры подтверждения соответствия техническую документацию, предусмотренную подпунктом «б» настоящего пункта, протокол (протоколы) испытаний оборудования и (или) покрытия, акт анализа состояния производства изготовителя (схема 1 с) и сертификат соответствия.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60.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сертификации оборудования и (или) покрытия орган по сертификации: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анализирует заявку и техническую документацию, представленные заявителем, и информирует заявителя о решении о проведении сертификации (с указанием условий проведения сертификации) или об отказе в ней (с указанием причин);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проводит идентификацию и отбор образцов оборудования и (или) покрытия у заявителя для проведения испытаний;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обеспечивает проведение испытаний образцов оборудования и (или) покрытия (схемы 1с, 2с и Зс) или единичного изделия оборудования и (или) покрытия (схема 4с) в испытательной лаборатории (центре);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проводит анализ состояния производства у изготовителя, результаты которого оформляются соответствующим актом (схема 1с);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положительных результатах испытаний образцов оборудования и (или) покрытия, анализа состояния производства (схема 1с) и анализа представленной заявителем технической документации оформляет сертификат соответствия по единой форме, утвержденной Решением Коллегии Евразийской экономической комиссии от 25 декабря 2012 г. № 293, который выдается заявителю;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 xml:space="preserve">проводит инспекционный контроль за сертифицированным оборудованием и (или) покрытием в течение всего срока действия сертификата соответствия </w:t>
      </w:r>
      <w:r w:rsidRPr="00C93473">
        <w:rPr>
          <w:rFonts w:ascii="Sylfaen" w:hAnsi="Sylfaen"/>
          <w:sz w:val="24"/>
          <w:szCs w:val="24"/>
        </w:rPr>
        <w:lastRenderedPageBreak/>
        <w:t>посредством испытаний образцов оборудования и (или) покрытия в испытательной лаборатории (центре) и (или) анализа состояния производства (схема 1с);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ж)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проводит инспекционный контроль за сертифицированным оборудованием и (или) покрытием в течение всего срока действия сертификата соответствия посредством испытаний образцов оборудования и (или) покрытия в испытательной лаборатории (центре) и проведения анализа результатов инспекционного контроля органом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 сертификации систем менеджмента за сертифицированной системой менеджмента (схема 2с);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з)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 результатам инспекционного контроля: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подтверждает действие сертификата соответствия, о чем указывает в акте инспекционного контроля;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при отрицательных результатах инспекционного контроля принимает решение о приостановлении либо отмене действия сертификата соответствия.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Доводит решение о результатах инспекционного контроля до заявителя;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и)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вносит сведения о сертификате соответствия в Единый реестр выданных или принятых документов об оценке соответствия Евразийского экономического союза.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 случае проведения сертификации по схемам, предусматривающим сертификацию систем менеджмента, работы по сертификации систем менеджмента осуществляет орган по сертификации систем менеджмента, зарегистрированный на территории государства-члена и аккредитованный в соответствии с законодательством этого государства-члена.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Срок действия сертификата соответствия для оборудования и (или) покрытия, выпускаемых серийно, - не более 5 лет, для партии оборудования и (или) покрытия (единичного изделия) срок действия сертификата соответствия не устанавливается.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Комплект документов, формируемый после сертификации оборудования и (или) покрытия, указанный в подпункте «е» пункта 59 настоящего технического регламента, должен храниться у заявителя и в органе по сертификации в течение следующих сроков: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на оборудование и (или) покрытие, выпускаемые серийно, - не менее 10 лет со дня прекращения действия сертификата соответствия;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на партию продукции (единичное изделие) - не менее 10 лет со дня реализации последнего изделия оборудования и (или) покрытия из партии продукции (единичного изделия).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Комплект документов предоставляется органам государственного контроля (надзора) по их требованию.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декларировании соответствия оборудования и (или) покрытия заявителем может быть: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схем 1д и 3д - изготовитель (уполномоченное изготовителем лицо);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схем 2д и 4д - изготовитель (уполномоченное изготовителем лицо) или продавец.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Выбор схемы декларирования соответствия оборудования и (или) покрытия осуществляется заявителем.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Декларирование соответствия оборудования и (или) покрытия по схемам 1д и 2д осуществляется заявителем на основании собственных доказательств. Испытания образцов оборудования и (или) покрытия по выбору заявителя проводятся в собственной испытательной лаборатории заявителя и (или) испытательной лабораторией (центром).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Декларирование соответствия оборудования и (или) покрытия по схемам 3д и 4д осуществляется заявителем на основании собственных доказательств и доказательств, полученных с участием испытательной лаборатории (центра).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декларировании соответствия оборудования и (или) покрытия заявитель: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 формирует и анализирует документы, подтверждающие соответствие оборудования и (или) покрытия требованиям настоящего технического регламента, в том числе: паспорт (для оборудования); конструкторскую документацию (схемы 1д и 3д); документ, по которому произведено оборудование и (или) покрытие (схемы 1д и 3д);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результаты прочностных расчетов;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протокол (протоколы) испытаний образцов оборудования и (или) покрытия, проведенных в собственной испытательной лаборатории заявителя и (или) испытательной лабораторией (центром);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документ о подтверждении характеристик материалов и комплектующих изделий (при наличии);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сертификаты соответствия, декларации о соответствии или протоколы испытаний в отношении материалов и комплектующих изделий (при наличии);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перечень стандартов, указанных в разделе VIII настоящего технического регламента, которые применялись при производстве (в случае их применения изготовителем);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контракт (договор на поставку) и товаросопроводительную документацию для партии продукции (единичного изделия) (схемы 2д и 4д);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проводит идентификацию оборудования и (или) покрытия в соответствии с разделом III настоящего технического регламента;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обеспечивает проведение производственного контроля и принимает необходимые меры для обеспечения соответствия процесса производства оборудования и (или) покрытия требованиям настоящего технического регламента;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принимает декларацию о соответствии, которая оформляется по единой форме и правилам, утвержденным Решением Коллегии Евразийской экономической комиссии от 25 декабря 2012 г. № 293;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наносит единый знак обращения продукции на рынке Союза после завершения процедуры декларирования соответствия;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формирует после завершения процедуры декларирования соответствия оборудования и (или) покрытия комплект документов, который включает в себя документы, предусмотренные подпунктом «а» настоящего пункта, и декларацию о соответствии.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Декларация о соответствии подлежит регистрации в порядке, установленном Решением Коллегии Евразийской экономической комиссии от 9 апреля 2013 г. № 76.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Комплект документов, формируемый после декларирования соответствия оборудования и (или) покрытия, указанный в подпункте «е» пункта 67 настоящего технического регламента, должен храниться у заявителя в течение следующих сроков: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на оборудование и (или) покрытие, выпускаемые серийно, - не менее 5 лет со дня прекращения действия декларации о соответствии;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на партию продукции (единичное изделие) - не менее 5 лет со дня реализации последнего изделия оборудования и (или) покрытия из партии продукции (единичного изделия).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Комплект документов предоставляется органам государственного контроля (надзора) по их требованию.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Срок действия декларации о соответствии при декларировании соответствия на серийный выпуск оборудования и (или) покрытия составляет не более 5 лет. Для партии оборудования и (или) покрытия (единичного изделия) срок действия декларации о соответствии не устанавливается.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После выпуска в обращение в течение назначенного срока службы аккредитованной (уполномоченной) организацией осуществляется оценка соответствия оборудования и (или) покрытия в форме оценки технического состояния (технического освидетельствования).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 xml:space="preserve">Порядок проведения оценки технического состояния (технического освидетельствования), а также порядок аккредитации (уполномочивания) организации на проведение оценки технического состояния (технического </w:t>
      </w:r>
      <w:r w:rsidRPr="00C93473">
        <w:rPr>
          <w:rFonts w:ascii="Sylfaen" w:hAnsi="Sylfaen"/>
          <w:sz w:val="24"/>
          <w:szCs w:val="24"/>
        </w:rPr>
        <w:lastRenderedPageBreak/>
        <w:t>освидетельствования) устанавливается законодательством государств-членов.</w:t>
      </w:r>
    </w:p>
    <w:p w:rsidR="0070042C" w:rsidRPr="002262F9" w:rsidRDefault="0070042C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X. Маркировка оборудования и (или) покрытия единым знаком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обращения продукции на рынке Союза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и (или) покрытие, соответствующие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распространяется, и прошедшие процедуру подтверждения соответствия, маркируются единым знаком обращения продукции на рынке Союза.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73.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Маркировка единым знаком обращения продукции на рынке Союза осуществляется перед выпуском оборудования и (или) покрытия в обращение на этом рынке.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74.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Единый знак обращения продукции на рынке Союза наносится на каждую единицу оборудования и (или) покрытия любым способом, обеспечивающим четкое и ясное изображение в течение всего срока службы оборудования и (или) покрытия, а также приводится в прилагаемом паспорте. Допускаются нанесение единого знака обращения продукции на рынке Союза только на упаковку и его указание в прилагаемом паспорте, если знак невозможно нанести непосредственно на оборудование и (или) покрытие.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75.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Маркировка оборудования и (или) покрытия единым знаком обращения продукции на рынке Союза свидетельствует о соответствии их требованиям всех технических регламентов Союза (Таможенного союза), распространяющихся на это оборудование и (или) покрытие и предусматривающих нанесение единого знака обращения продукции на рынке Союза.</w:t>
      </w:r>
    </w:p>
    <w:p w:rsidR="0070042C" w:rsidRPr="00937BFE" w:rsidRDefault="0070042C" w:rsidP="00C93473">
      <w:pPr>
        <w:pStyle w:val="Bodytext20"/>
        <w:shd w:val="clear" w:color="auto" w:fill="auto"/>
        <w:spacing w:before="0" w:after="120" w:line="240" w:lineRule="auto"/>
        <w:ind w:right="140" w:firstLine="0"/>
        <w:jc w:val="center"/>
        <w:rPr>
          <w:rFonts w:ascii="Sylfaen" w:hAnsi="Sylfaen"/>
          <w:sz w:val="24"/>
          <w:szCs w:val="24"/>
        </w:rPr>
      </w:pP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XI. Государственный контроль (надзор)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76.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Государственный контроль (надзор) за соблюдением требований настоящего технического регламента проводится в соответствии с законодательством государсдв-членов.</w:t>
      </w:r>
    </w:p>
    <w:p w:rsidR="0070042C" w:rsidRDefault="0070042C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ПРИЛОЖЕНИЕ № 1</w:t>
      </w: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 техническому регламенту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Евразийского экономического союза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«О безопасности оборудования для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детских игровых площадок»</w:t>
      </w:r>
    </w:p>
    <w:p w:rsidR="00083C4C" w:rsidRDefault="00C93473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C93473">
        <w:rPr>
          <w:rFonts w:ascii="Sylfaen" w:hAnsi="Sylfaen"/>
          <w:sz w:val="24"/>
          <w:szCs w:val="24"/>
        </w:rPr>
        <w:t>(ТР ЕАЭС 042/2017)</w:t>
      </w:r>
    </w:p>
    <w:p w:rsidR="0070042C" w:rsidRPr="0070042C" w:rsidRDefault="0070042C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083C4C" w:rsidRPr="00C93473" w:rsidRDefault="00C93473" w:rsidP="00C93473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</w:rPr>
      </w:pPr>
      <w:r w:rsidRPr="00C93473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83C4C" w:rsidRPr="00C93473" w:rsidRDefault="00C93473" w:rsidP="0070042C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продукции, на которую распространяются требования технического регламента Евразийского экономического союза «О безопасности оборудования для детских игровых площадок»</w:t>
      </w:r>
    </w:p>
    <w:p w:rsidR="00083C4C" w:rsidRPr="00C93473" w:rsidRDefault="00C93473" w:rsidP="00C93473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(ТР ЕАЭС 042/2017)</w:t>
      </w: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876"/>
        <w:gridCol w:w="3878"/>
        <w:gridCol w:w="7"/>
      </w:tblGrid>
      <w:tr w:rsidR="00083C4C" w:rsidRPr="00C93473" w:rsidTr="002262F9">
        <w:trPr>
          <w:tblHeader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Вид оборудования, покрытия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Характеристика вида оборудования, покрытия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Тип оборудования, покрытия</w:t>
            </w:r>
          </w:p>
        </w:tc>
      </w:tr>
      <w:tr w:rsidR="00083C4C" w:rsidRPr="00C93473" w:rsidTr="002262F9">
        <w:tc>
          <w:tcPr>
            <w:tcW w:w="259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1. Г орка детской игровой площадки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оборудование для детской игровой площадки с наклонной поверхностью скольжения, по которой ребенок спускается вниз под действием силы тяжести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отдельно стоящая горка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пристраиваемая горка</w:t>
            </w:r>
          </w:p>
        </w:tc>
      </w:tr>
      <w:tr w:rsidR="00083C4C" w:rsidRPr="00C93473" w:rsidTr="0070042C">
        <w:tc>
          <w:tcPr>
            <w:tcW w:w="2597" w:type="dxa"/>
            <w:vMerge w:val="restart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горка-волна (волнообразная горка)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горка «на склоне» (горка на склоне холма, насыпи, берега)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 w:val="restart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спиральная горка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криволинейная горка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тоннельная горка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комбинированная тоннельная горка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горка с несколькими трассами</w:t>
            </w:r>
          </w:p>
        </w:tc>
      </w:tr>
      <w:tr w:rsidR="00083C4C" w:rsidRPr="00C93473" w:rsidTr="0070042C">
        <w:tc>
          <w:tcPr>
            <w:tcW w:w="2597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2. Качели детской игровой площадки</w:t>
            </w:r>
          </w:p>
        </w:tc>
        <w:tc>
          <w:tcPr>
            <w:tcW w:w="2877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оборудование для детской игровой площадки, приводимое в движение ребенком, масса которого располагается ниже шарнира, относительно которого осуществляется качание</w:t>
            </w: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качели с одной осью вращения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качели с несколькими осями вращения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качели с одной точкой подвеса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качели коллективные</w:t>
            </w:r>
          </w:p>
        </w:tc>
      </w:tr>
      <w:tr w:rsidR="00083C4C" w:rsidRPr="00C93473" w:rsidTr="0070042C">
        <w:tc>
          <w:tcPr>
            <w:tcW w:w="2597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3. Качалка детской игровой площадки</w:t>
            </w:r>
          </w:p>
        </w:tc>
        <w:tc>
          <w:tcPr>
            <w:tcW w:w="2877" w:type="dxa"/>
            <w:vMerge w:val="restart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оборудование для детской игровой площадки, которое приводится в движение </w:t>
            </w: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ребенком (детьми) и на котором осуществляется колебательное движение в различных плоскостях</w:t>
            </w:r>
          </w:p>
        </w:tc>
        <w:tc>
          <w:tcPr>
            <w:tcW w:w="3886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качалка-балансир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  <w:vAlign w:val="bottom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качалка с одной опорой</w:t>
            </w:r>
          </w:p>
        </w:tc>
      </w:tr>
      <w:tr w:rsidR="00083C4C" w:rsidRPr="00C93473" w:rsidTr="0070042C">
        <w:tc>
          <w:tcPr>
            <w:tcW w:w="259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  <w:vAlign w:val="bottom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 xml:space="preserve">качалка с одной опорой, </w:t>
            </w: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обеспечивающая при качании движение ребенка (детей) в нескольких плоскостях</w:t>
            </w:r>
          </w:p>
        </w:tc>
      </w:tr>
      <w:tr w:rsidR="00083C4C" w:rsidRPr="00C93473" w:rsidTr="0070042C">
        <w:tc>
          <w:tcPr>
            <w:tcW w:w="259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качалка с несколькими опорами, обеспечивающая при качании движение ребенка (детей) преимущественно в одной плоскости</w:t>
            </w:r>
          </w:p>
        </w:tc>
      </w:tr>
      <w:tr w:rsidR="00083C4C" w:rsidRPr="00C93473" w:rsidTr="0070042C">
        <w:tc>
          <w:tcPr>
            <w:tcW w:w="259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качалка с несколькими опорами, обеспечивающая при качании движение ребенка (детей) в нескольких плоскостях</w:t>
            </w:r>
          </w:p>
        </w:tc>
      </w:tr>
      <w:tr w:rsidR="00083C4C" w:rsidRPr="00C93473" w:rsidTr="0070042C">
        <w:tc>
          <w:tcPr>
            <w:tcW w:w="259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шатунная качалка</w:t>
            </w:r>
          </w:p>
        </w:tc>
      </w:tr>
      <w:tr w:rsidR="00083C4C" w:rsidRPr="00C93473" w:rsidTr="0070042C">
        <w:tc>
          <w:tcPr>
            <w:tcW w:w="259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качалка с одной осью качания, расположенной на высоте</w:t>
            </w:r>
          </w:p>
        </w:tc>
      </w:tr>
      <w:tr w:rsidR="00083C4C" w:rsidRPr="00C93473" w:rsidTr="0070042C">
        <w:tc>
          <w:tcPr>
            <w:tcW w:w="259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качалка с вращением вокруг центральной оси</w:t>
            </w:r>
          </w:p>
        </w:tc>
      </w:tr>
      <w:tr w:rsidR="00083C4C" w:rsidRPr="00C93473" w:rsidTr="0070042C">
        <w:tc>
          <w:tcPr>
            <w:tcW w:w="2597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4. Карусель детской игровой площадки</w:t>
            </w:r>
          </w:p>
        </w:tc>
        <w:tc>
          <w:tcPr>
            <w:tcW w:w="2877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оборудование для детской игровой площадки с одним посадочным местом или более, вращающееся вокруг вертикальной оси, с углом наклона от вертикали не более 5°</w:t>
            </w:r>
          </w:p>
        </w:tc>
        <w:tc>
          <w:tcPr>
            <w:tcW w:w="3886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вращающиеся кресла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вращающаяся платформа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вращающийся гриб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планирование в воздухе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движение по круговой колее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большой вращающийся диск</w:t>
            </w:r>
          </w:p>
        </w:tc>
      </w:tr>
      <w:tr w:rsidR="00083C4C" w:rsidRPr="00C93473" w:rsidTr="0070042C">
        <w:tc>
          <w:tcPr>
            <w:tcW w:w="2597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5. Канатная дорога детской игровой площадки</w:t>
            </w:r>
          </w:p>
        </w:tc>
        <w:tc>
          <w:tcPr>
            <w:tcW w:w="2877" w:type="dxa"/>
            <w:vMerge w:val="restart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оборудование для детской игровой площадки, на котором ребенок катается под действием силы тяжести</w:t>
            </w: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канатная дорога: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  <w:vAlign w:val="bottom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с подвесной рукояткой</w:t>
            </w:r>
          </w:p>
        </w:tc>
      </w:tr>
      <w:tr w:rsidR="00083C4C" w:rsidRPr="00C93473" w:rsidTr="0070042C">
        <w:tc>
          <w:tcPr>
            <w:tcW w:w="2597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7" w:type="dxa"/>
            <w:vMerge/>
            <w:shd w:val="clear" w:color="auto" w:fill="FFFFFF"/>
            <w:vAlign w:val="bottom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6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с сиденьем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6. 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083C4C" w:rsidRPr="00C93473" w:rsidRDefault="00C93473" w:rsidP="00937B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оборудование для детской игровой площадки,</w:t>
            </w:r>
            <w:r w:rsidR="00937BFE" w:rsidRPr="00937BFE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предназначенное для игры, физического развития, воспитания ловкости и смелости детей</w:t>
            </w: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детский городок (игровой комплекс)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оборудование и элементы детских городков (игровых комплексов):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башня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рукоход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 w:val="restart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 w:val="restart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стенка шведская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стенка для лазания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тоннель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мостик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трап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лестница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спираль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шест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гибкие элементы для лазания (лестница, сеть, паутина)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игровое оборудование, в том числе песочница, игровой домик, лабиринт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7. Ударопоглощающее покрытие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покрытие для детской игровой площадки, обладающее амортизационными свойствами</w:t>
            </w: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покрытие песчаное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покрытие гравийное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покрытие дерновое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покрытие из дробленой древесины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покрытие резиновое</w:t>
            </w:r>
          </w:p>
        </w:tc>
      </w:tr>
      <w:tr w:rsidR="00083C4C" w:rsidRPr="00C93473" w:rsidTr="0070042C">
        <w:trPr>
          <w:gridAfter w:val="1"/>
          <w:wAfter w:w="7" w:type="dxa"/>
        </w:trPr>
        <w:tc>
          <w:tcPr>
            <w:tcW w:w="2600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74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0"/>
                <w:rFonts w:ascii="Sylfaen" w:hAnsi="Sylfaen"/>
                <w:sz w:val="24"/>
                <w:szCs w:val="24"/>
              </w:rPr>
              <w:t>покрытие синтетическое</w:t>
            </w:r>
          </w:p>
        </w:tc>
      </w:tr>
    </w:tbl>
    <w:p w:rsidR="0070042C" w:rsidRDefault="0070042C" w:rsidP="00C93473">
      <w:pPr>
        <w:spacing w:after="120"/>
        <w:rPr>
          <w:rFonts w:ascii="Sylfaen" w:hAnsi="Sylfaen"/>
        </w:rPr>
      </w:pPr>
    </w:p>
    <w:p w:rsidR="0070042C" w:rsidRDefault="0070042C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ПРИЛОЖЕНИЕ № 2</w:t>
      </w:r>
    </w:p>
    <w:p w:rsidR="00083C4C" w:rsidRPr="00C93473" w:rsidRDefault="00C93473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 техническому регламенту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Евразийского экономического союза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«О безопасности оборудования для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детских игровых площадок»</w:t>
      </w:r>
    </w:p>
    <w:p w:rsidR="00083C4C" w:rsidRDefault="00C93473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  <w:r w:rsidRPr="00C93473">
        <w:rPr>
          <w:rFonts w:ascii="Sylfaen" w:hAnsi="Sylfaen"/>
          <w:sz w:val="24"/>
          <w:szCs w:val="24"/>
        </w:rPr>
        <w:t>(ТР ЕАЭС 042/2017)</w:t>
      </w:r>
    </w:p>
    <w:p w:rsidR="0070042C" w:rsidRPr="0070042C" w:rsidRDefault="0070042C" w:rsidP="0070042C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083C4C" w:rsidRPr="00C93473" w:rsidRDefault="00C93473" w:rsidP="00C93473">
      <w:pPr>
        <w:pStyle w:val="Bodytext30"/>
        <w:shd w:val="clear" w:color="auto" w:fill="auto"/>
        <w:spacing w:line="240" w:lineRule="auto"/>
        <w:ind w:right="180"/>
        <w:rPr>
          <w:rFonts w:ascii="Sylfaen" w:hAnsi="Sylfaen"/>
          <w:sz w:val="24"/>
          <w:szCs w:val="24"/>
        </w:rPr>
      </w:pPr>
      <w:r w:rsidRPr="00C93473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ТРЕБОВАНИЯ</w:t>
      </w:r>
    </w:p>
    <w:p w:rsidR="00083C4C" w:rsidRPr="00C93473" w:rsidRDefault="00C93473" w:rsidP="0070042C">
      <w:pPr>
        <w:pStyle w:val="Bodytext30"/>
        <w:shd w:val="clear" w:color="auto" w:fill="auto"/>
        <w:spacing w:line="240" w:lineRule="auto"/>
        <w:ind w:left="426" w:right="426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 гигиенической безопасности материалов, применяемых</w:t>
      </w:r>
      <w:r w:rsidRPr="00C93473">
        <w:rPr>
          <w:rStyle w:val="Bodytext2"/>
          <w:rFonts w:ascii="Sylfaen" w:hAnsi="Sylfaen"/>
          <w:b w:val="0"/>
          <w:bCs w:val="0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 производстве оборудования и покрытия для детских</w:t>
      </w:r>
      <w:r w:rsidRPr="00C93473">
        <w:rPr>
          <w:rStyle w:val="Bodytext2"/>
          <w:rFonts w:ascii="Sylfaen" w:hAnsi="Sylfaen"/>
          <w:b w:val="0"/>
          <w:bCs w:val="0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игровых площадок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Интенсивность запаха материалов, применяемых при производстве оборудования и покрытия для детских игровых площадок (далее - материалы), не должна превышать 2 баллов.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 в условиях эксплуатации не должен превышать 15,0 кВ/м.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3.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Материалы не должны стимулировать рост и развитие микрофлоры, в том числе патогенной.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4.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Удельная эффективная активность естественных радионуклидов в материалах на минеральной основе не должна превышать 370 Бк/кг. Допустимая удельная активность цезия-137 в древесине и древесносодержащих материалах не должна превышать 300 Бк/кг.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5.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Защитно-декоративное покрытие оборудования и покрытий должно быть стойким к влажной обработке, оборудования - к действию слюны, пота и влаги.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6.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не должно оказывать местное кожно- раздражающее действие, или индекс токсичности оборудования, определяемый в водной среде (дистиллированная среда), должен быть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 пределах от 70 до 120 % включительно, в воздушной среде - от 80 до 120 % включительно.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7.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Материалы не должны выделять в окружающую среду летучие вещества в количествах, которые могут оказывать прямое или косвенное неблагоприятное действие на организм человека (с учетом совместного действия всех выделяющихся веществ).</w:t>
      </w:r>
    </w:p>
    <w:p w:rsidR="00083C4C" w:rsidRPr="00937BFE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8.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 xml:space="preserve">Во время эксплуатации оборудования и покрытия в воздух не должны выделяться из материалов химические вещества, относящиеся к 1-му классу опасности (классификация проводится по общим требованиям к классификации опасной химической продукции в соответствии с законодательством государств - членов Евразийского экономического союза), а выделение остальных веществ не должно превышать гигиенические нормативы, указанные в таблице (при выделении из материалов нескольких химических веществ, обладающих суммацией действия, </w:t>
      </w:r>
      <w:r w:rsidRPr="00C93473">
        <w:rPr>
          <w:rFonts w:ascii="Sylfaen" w:hAnsi="Sylfaen"/>
          <w:sz w:val="24"/>
          <w:szCs w:val="24"/>
        </w:rPr>
        <w:lastRenderedPageBreak/>
        <w:t>сумма отношений концентраций к их предельно допустимым концентрациям не должна превышать 1).</w:t>
      </w:r>
    </w:p>
    <w:p w:rsidR="0070042C" w:rsidRPr="00937BFE" w:rsidRDefault="0070042C" w:rsidP="00C93473">
      <w:pPr>
        <w:pStyle w:val="Bodytext20"/>
        <w:shd w:val="clear" w:color="auto" w:fill="auto"/>
        <w:spacing w:before="0" w:after="120" w:line="240" w:lineRule="auto"/>
        <w:ind w:right="220" w:firstLine="760"/>
        <w:rPr>
          <w:rFonts w:ascii="Sylfaen" w:hAnsi="Sylfaen"/>
          <w:sz w:val="24"/>
          <w:szCs w:val="24"/>
        </w:rPr>
      </w:pPr>
    </w:p>
    <w:p w:rsidR="00083C4C" w:rsidRPr="00C93473" w:rsidRDefault="00C93473" w:rsidP="00C93473">
      <w:pPr>
        <w:pStyle w:val="Bodytext20"/>
        <w:shd w:val="clear" w:color="auto" w:fill="auto"/>
        <w:spacing w:before="0" w:after="120" w:line="240" w:lineRule="auto"/>
        <w:ind w:left="120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Гигиенические нормативы выделения вредных веществ из материалов,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применяемых при производстве оборудования и покрытия</w:t>
      </w:r>
      <w:r w:rsidR="0070042C" w:rsidRPr="0070042C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детских игровых площадок</w:t>
      </w:r>
    </w:p>
    <w:tbl>
      <w:tblPr>
        <w:tblOverlap w:val="never"/>
        <w:tblW w:w="9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16"/>
        <w:gridCol w:w="2403"/>
        <w:gridCol w:w="1977"/>
        <w:gridCol w:w="12"/>
        <w:gridCol w:w="1993"/>
        <w:gridCol w:w="12"/>
      </w:tblGrid>
      <w:tr w:rsidR="00083C4C" w:rsidRPr="00C93473" w:rsidTr="002262F9">
        <w:trPr>
          <w:tblHeader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материала (вещества)</w:t>
            </w:r>
          </w:p>
        </w:tc>
        <w:tc>
          <w:tcPr>
            <w:tcW w:w="6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Санитарно-эпидемиологические требования</w:t>
            </w:r>
          </w:p>
        </w:tc>
      </w:tr>
      <w:tr w:rsidR="00083C4C" w:rsidRPr="00C93473" w:rsidTr="002262F9">
        <w:trPr>
          <w:tblHeader/>
        </w:trPr>
        <w:tc>
          <w:tcPr>
            <w:tcW w:w="3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показатель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7004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допустимый уровень миграции в воздушную</w:t>
            </w:r>
            <w:r w:rsidR="0070042C" w:rsidRPr="0070042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среду, мг/м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7004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допустимый уровень миграции в водную среду,</w:t>
            </w:r>
            <w:r w:rsidR="0070042C" w:rsidRPr="0070042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мг/дм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083C4C" w:rsidRPr="00C93473" w:rsidTr="002262F9">
        <w:trPr>
          <w:tblHeader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083C4C" w:rsidRPr="00C93473" w:rsidTr="002262F9">
        <w:tc>
          <w:tcPr>
            <w:tcW w:w="9552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I. Полимерные и полимерсодержащие материалы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1. Поливинилхлорид пластифицированный</w:t>
            </w: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(суспензионный и эмульсионный)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хлористый водород*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бензол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0,6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c>
          <w:tcPr>
            <w:tcW w:w="3142" w:type="dxa"/>
            <w:vMerge w:val="restart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2. Фенолформальдегидные,</w:t>
            </w:r>
            <w:r w:rsidRPr="00C9347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меламинформальдегидные</w:t>
            </w:r>
            <w:r w:rsidRPr="00C9347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смолы</w:t>
            </w: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42" w:type="dxa"/>
            <w:vMerge/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9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3. Карбамидные смолы</w:t>
            </w: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4. Синтетические каучуки на основе бутадиена</w:t>
            </w: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акрилонитрил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083C4C" w:rsidRPr="00C93473" w:rsidTr="00937BFE">
        <w:tc>
          <w:tcPr>
            <w:tcW w:w="3142" w:type="dxa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 xml:space="preserve">и сополимеров бутадиена с акрилонитрилом и 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стиролом</w:t>
            </w: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водород цианистый*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42" w:type="dxa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42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2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083C4C" w:rsidP="0070042C">
            <w:pPr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0,60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ксилолы (смесь изомеров)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0,20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5. Полистирольные пластики</w:t>
            </w:r>
          </w:p>
        </w:tc>
        <w:tc>
          <w:tcPr>
            <w:tcW w:w="2404" w:type="dxa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90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полистирол (блочный, суспензионный, ударопрочный), сополимер стирола с акрилонитрилом, АБС-пластики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акрилонитрил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сополимер стирола с метакрилатом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метилметакрилат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сополимер стирола с бутадиеном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бутиловый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вспененные полистролы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ксилолы (смесь изомеров)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0,20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0,30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70042C">
            <w:pPr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0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6. Полиуретаны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бутилацетат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водород цианистый*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937BFE" w:rsidP="00937BFE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C93473" w:rsidRPr="00C93473">
              <w:rPr>
                <w:rStyle w:val="Bodytext211pt"/>
                <w:rFonts w:ascii="Sylfaen" w:hAnsi="Sylfaen"/>
                <w:sz w:val="24"/>
                <w:szCs w:val="24"/>
              </w:rPr>
              <w:t>пирт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93473" w:rsidRPr="00C93473">
              <w:rPr>
                <w:rStyle w:val="Bodytext211pt"/>
                <w:rFonts w:ascii="Sylfaen" w:hAnsi="Sylfaen"/>
                <w:sz w:val="24"/>
                <w:szCs w:val="24"/>
              </w:rPr>
              <w:t>изопропиловый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0,60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0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этиленгликоль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0,30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7. Эпоксидные смолы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ксилолы (смесь изомеров)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0,20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0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0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эпихлоргидрин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0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8. Полиэфирные смолы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стирол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083C4C" w:rsidP="0070042C">
            <w:pPr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фталевый ангидрид*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этиленгликоль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0,30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9. Полимерсодержащие материалы на основе винилового спирта и его производных</w:t>
            </w: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винилацетат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0,15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  <w:vAlign w:val="center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 xml:space="preserve">10. Полимерсодержащие </w:t>
            </w: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материалы на основе акриловой и метакриловой кислот</w:t>
            </w: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акрилонитрил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метилметакрилат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11. Полимерсодержащие материалы на основе полиэтилена и полипропилена</w:t>
            </w: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ацетальдегид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937BFE" w:rsidP="00937BFE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C93473" w:rsidRPr="00C93473">
              <w:rPr>
                <w:rStyle w:val="Bodytext211pt"/>
                <w:rFonts w:ascii="Sylfaen" w:hAnsi="Sylfaen"/>
                <w:sz w:val="24"/>
                <w:szCs w:val="24"/>
              </w:rPr>
              <w:t>пирт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93473" w:rsidRPr="00C93473">
              <w:rPr>
                <w:rStyle w:val="Bodytext211pt"/>
                <w:rFonts w:ascii="Sylfaen" w:hAnsi="Sylfaen"/>
                <w:sz w:val="24"/>
                <w:szCs w:val="24"/>
              </w:rPr>
              <w:t>изопропиловый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0,60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12. Полиамид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капролактам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0,06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"/>
                <w:rFonts w:ascii="Sylfaen" w:hAnsi="Sylfaen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13. Полимерсодержащие материалы на минеральной основе</w:t>
            </w: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70042C" w:rsidP="0070042C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ангидрид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93473" w:rsidRPr="00C93473">
              <w:rPr>
                <w:rStyle w:val="Bodytext211pt"/>
                <w:rFonts w:ascii="Sylfaen" w:hAnsi="Sylfaen"/>
                <w:sz w:val="24"/>
                <w:szCs w:val="24"/>
              </w:rPr>
              <w:t>фосфорный*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диоксид серы*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14. Полимерсодержащие материалы на основе целлюлозы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0,50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"/>
                <w:rFonts w:ascii="Sylfaen" w:hAnsi="Sylfaen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"/>
                <w:rFonts w:ascii="Sylfaen" w:hAnsi="Sylfaen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 w:val="restart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15. Резина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9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"/>
                <w:rFonts w:ascii="Sylfaen" w:hAnsi="Sylfaen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vMerge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9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"/>
                <w:rFonts w:ascii="Sylfaen" w:hAnsi="Sylfaen"/>
              </w:rPr>
              <w:t>од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16. Древесина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ацетальдегид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бутиловый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изобутиловый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1"/>
                <w:rFonts w:ascii="Sylfaen" w:hAnsi="Sylfaen"/>
                <w:sz w:val="24"/>
                <w:szCs w:val="24"/>
              </w:rPr>
              <w:t>од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спирт метиловый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70042C" w:rsidP="0070042C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C93473" w:rsidRPr="00C93473">
              <w:rPr>
                <w:rStyle w:val="Bodytext211pt"/>
                <w:rFonts w:ascii="Sylfaen" w:hAnsi="Sylfaen"/>
                <w:sz w:val="24"/>
                <w:szCs w:val="24"/>
              </w:rPr>
              <w:t>пирт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93473" w:rsidRPr="00C93473">
              <w:rPr>
                <w:rStyle w:val="Bodytext211pt"/>
                <w:rFonts w:ascii="Sylfaen" w:hAnsi="Sylfaen"/>
                <w:sz w:val="24"/>
                <w:szCs w:val="24"/>
              </w:rPr>
              <w:t>изопропиловый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0,6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фенол**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сумма общих фенолов**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аммиак*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0,04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9540" w:type="dxa"/>
            <w:gridSpan w:val="6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II. Текстильные материалы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17. Натуральные из растительного сырья</w:t>
            </w:r>
          </w:p>
        </w:tc>
        <w:tc>
          <w:tcPr>
            <w:tcW w:w="2404" w:type="dxa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18. Искусственные вискозные и ацетатные</w:t>
            </w:r>
          </w:p>
        </w:tc>
        <w:tc>
          <w:tcPr>
            <w:tcW w:w="2404" w:type="dxa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19. Полиэфирные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3pt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диметилтерефталат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1,5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ацетальдегид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0" w:type="dxa"/>
            <w:gridSpan w:val="2"/>
            <w:shd w:val="clear" w:color="auto" w:fill="FFFFFF"/>
            <w:vAlign w:val="bottom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20. Полиамидные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капролактам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0,06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гексаметилендиамин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0,001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937B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21. Полиакрилонитрильные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акрилонитрил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диметилформамид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10,0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винилацетат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0,15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0,2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22. Поливинилхлоридные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формальдегид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ацетон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0,35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1"/>
                <w:rFonts w:ascii="Sylfaen" w:hAnsi="Sylfaen"/>
                <w:sz w:val="24"/>
                <w:szCs w:val="24"/>
              </w:rPr>
              <w:t>од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бензол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1"/>
                <w:rFonts w:ascii="Sylfaen" w:hAnsi="Sylfaen"/>
                <w:sz w:val="24"/>
                <w:szCs w:val="24"/>
              </w:rPr>
              <w:t>од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толуол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0,6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0,5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диоктилфталат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TrebuchetMS0"/>
                <w:rFonts w:ascii="Sylfaen" w:hAnsi="Sylfaen"/>
                <w:sz w:val="24"/>
                <w:szCs w:val="24"/>
              </w:rPr>
              <w:t>2,0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дибутилфталат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не допускается</w:t>
            </w:r>
          </w:p>
        </w:tc>
      </w:tr>
      <w:tr w:rsidR="00083C4C" w:rsidRPr="00C93473" w:rsidTr="00937BFE">
        <w:tc>
          <w:tcPr>
            <w:tcW w:w="3158" w:type="dxa"/>
            <w:gridSpan w:val="2"/>
            <w:shd w:val="clear" w:color="auto" w:fill="FFFFFF"/>
          </w:tcPr>
          <w:p w:rsidR="00083C4C" w:rsidRPr="00C93473" w:rsidRDefault="00083C4C" w:rsidP="00C9347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0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фенол **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006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083C4C" w:rsidRPr="00C93473" w:rsidTr="00937BFE">
        <w:trPr>
          <w:gridAfter w:val="1"/>
          <w:wAfter w:w="12" w:type="dxa"/>
        </w:trPr>
        <w:tc>
          <w:tcPr>
            <w:tcW w:w="3154" w:type="dxa"/>
            <w:gridSpan w:val="2"/>
            <w:shd w:val="clear" w:color="auto" w:fill="FFFFFF"/>
          </w:tcPr>
          <w:p w:rsidR="00083C4C" w:rsidRPr="00C93473" w:rsidRDefault="00083C4C" w:rsidP="00937BFE">
            <w:pPr>
              <w:rPr>
                <w:rFonts w:ascii="Sylfaen" w:hAnsi="Sylfaen"/>
              </w:rPr>
            </w:pPr>
          </w:p>
        </w:tc>
        <w:tc>
          <w:tcPr>
            <w:tcW w:w="2405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сумма общих фенолов* **</w:t>
            </w:r>
          </w:p>
        </w:tc>
        <w:tc>
          <w:tcPr>
            <w:tcW w:w="1987" w:type="dxa"/>
            <w:gridSpan w:val="2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83C4C" w:rsidRPr="00C93473" w:rsidRDefault="00C93473" w:rsidP="00C9347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C93473">
              <w:rPr>
                <w:rStyle w:val="Bodytext211pt"/>
                <w:rFonts w:ascii="Sylfaen" w:hAnsi="Sylfaen"/>
                <w:sz w:val="24"/>
                <w:szCs w:val="24"/>
              </w:rPr>
              <w:t>0,1</w:t>
            </w:r>
          </w:p>
        </w:tc>
      </w:tr>
    </w:tbl>
    <w:p w:rsidR="00083C4C" w:rsidRPr="00C93473" w:rsidRDefault="00C93473" w:rsidP="00C93473">
      <w:pPr>
        <w:pStyle w:val="Footnote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  <w:lang w:eastAsia="en-US" w:bidi="en-US"/>
        </w:rPr>
        <w:t xml:space="preserve">* </w:t>
      </w:r>
      <w:r w:rsidRPr="00C93473">
        <w:rPr>
          <w:rFonts w:ascii="Sylfaen" w:hAnsi="Sylfaen"/>
          <w:sz w:val="24"/>
          <w:szCs w:val="24"/>
        </w:rPr>
        <w:t>Миграция химических веществ определяется только в воздушной среде.</w:t>
      </w:r>
    </w:p>
    <w:p w:rsidR="00083C4C" w:rsidRPr="00C93473" w:rsidRDefault="00C93473" w:rsidP="00C93473">
      <w:pPr>
        <w:pStyle w:val="Footnote0"/>
        <w:shd w:val="clear" w:color="auto" w:fill="auto"/>
        <w:spacing w:after="120" w:line="240" w:lineRule="auto"/>
        <w:ind w:left="1480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** Показатели являются взаимозаменяемыми.</w:t>
      </w:r>
    </w:p>
    <w:p w:rsidR="00083C4C" w:rsidRPr="00C93473" w:rsidRDefault="00C93473" w:rsidP="00C93473">
      <w:pPr>
        <w:pStyle w:val="Footnote0"/>
        <w:shd w:val="clear" w:color="auto" w:fill="auto"/>
        <w:spacing w:after="120" w:line="240" w:lineRule="auto"/>
        <w:ind w:left="1480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Примечания: 1. Обязательной модельной средой при проведении санитарно-химических исследований является воздушная среда.</w:t>
      </w:r>
    </w:p>
    <w:p w:rsidR="00083C4C" w:rsidRPr="00C93473" w:rsidRDefault="00C93473" w:rsidP="00C93473">
      <w:pPr>
        <w:pStyle w:val="Footnote0"/>
        <w:shd w:val="clear" w:color="auto" w:fill="auto"/>
        <w:spacing w:after="120" w:line="240" w:lineRule="auto"/>
        <w:ind w:left="1480" w:right="140" w:firstLine="0"/>
        <w:jc w:val="both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2. Из деталей оборудования, имеющих непосредственный контакт с кожей, миграция вредных химических веществ определяется только в водную модельную среду.</w:t>
      </w:r>
    </w:p>
    <w:p w:rsidR="00937BFE" w:rsidRDefault="00937BFE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083C4C" w:rsidRPr="00C93473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ПРИЛОЖЕНИЕ № 3</w:t>
      </w:r>
    </w:p>
    <w:p w:rsidR="00083C4C" w:rsidRPr="00C93473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 техническому регламенту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Евразийского экономического союза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«О безопасности оборудования для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детских игровых площадок»</w:t>
      </w:r>
    </w:p>
    <w:p w:rsidR="00083C4C" w:rsidRPr="00C93473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(ТР ЕАЭС 042/2017)</w:t>
      </w:r>
    </w:p>
    <w:p w:rsidR="00083C4C" w:rsidRPr="00C93473" w:rsidRDefault="00C93473" w:rsidP="00C93473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C93473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83C4C" w:rsidRPr="00C93473" w:rsidRDefault="00C93473" w:rsidP="00C93473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продукции, подлежащей обязательному подтверждению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соответствия требованиям технического регламента Евразийского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экономического союза «О безопасности оборудования для детских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игровых площадок» (ТР ЕАЭС 042/2017)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 форме сертификации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Оборудование для детской игровой площадки: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горка детской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качели детской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качалка детской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карусель детской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д)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канатная дорога детской игровой площадки;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е)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детский городок (игровой комплекс).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Ударопоглощающее покрытие для детской игровой площадки: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покрытие резиновое;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покрытие синтетическое.</w:t>
      </w:r>
    </w:p>
    <w:p w:rsidR="00937BFE" w:rsidRDefault="00937BFE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083C4C" w:rsidRPr="00C93473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lastRenderedPageBreak/>
        <w:t>ПРИЛОЖЕНИЕ № 4</w:t>
      </w:r>
    </w:p>
    <w:p w:rsidR="00083C4C" w:rsidRPr="00C93473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к техническому регламенту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Евразийского экономического союза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«О безопасности оборудования для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детских игровых площадок»</w:t>
      </w:r>
    </w:p>
    <w:p w:rsidR="00083C4C" w:rsidRPr="00C93473" w:rsidRDefault="00C93473" w:rsidP="00937BFE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(ТР ЕАЭС 042/2017)</w:t>
      </w:r>
    </w:p>
    <w:p w:rsidR="00937BFE" w:rsidRDefault="00937BFE" w:rsidP="00C93473">
      <w:pPr>
        <w:pStyle w:val="Bodytext30"/>
        <w:shd w:val="clear" w:color="auto" w:fill="auto"/>
        <w:spacing w:line="240" w:lineRule="auto"/>
        <w:ind w:left="40"/>
        <w:rPr>
          <w:rStyle w:val="Bodytext3Spacing2pt0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083C4C" w:rsidRPr="00C93473" w:rsidRDefault="00C93473" w:rsidP="00C93473">
      <w:pPr>
        <w:pStyle w:val="Bodytext3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C93473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83C4C" w:rsidRPr="00C93473" w:rsidRDefault="00C93473" w:rsidP="00937BFE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продукции, подлежащей обязательному подтверждению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соответствия требованиям технического регламента Евразийского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экономического союза «О безопасности оборудования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для детских игровых площадок» (ТР ЕАЭС 042/2017)</w:t>
      </w:r>
      <w:r w:rsidR="00937BFE" w:rsidRP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в форме декларирования соответствия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1.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Игровое оборудование для детской игровой площадки, в том числе: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песочница;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игровой домик;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лабиринт.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2.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Ударопоглощающее покрытие для детской игровой площадки: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а)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покрытие песчаное;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б)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покрытие гравийное;</w:t>
      </w:r>
    </w:p>
    <w:p w:rsidR="00083C4C" w:rsidRPr="00C93473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в)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покрытие дерновое;</w:t>
      </w:r>
    </w:p>
    <w:p w:rsidR="00083C4C" w:rsidRPr="002262F9" w:rsidRDefault="00C93473" w:rsidP="002262F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C93473">
        <w:rPr>
          <w:rFonts w:ascii="Sylfaen" w:hAnsi="Sylfaen"/>
          <w:sz w:val="24"/>
          <w:szCs w:val="24"/>
        </w:rPr>
        <w:t>г)</w:t>
      </w:r>
      <w:r w:rsidR="00937BFE">
        <w:rPr>
          <w:rFonts w:ascii="Sylfaen" w:hAnsi="Sylfaen"/>
          <w:sz w:val="24"/>
          <w:szCs w:val="24"/>
        </w:rPr>
        <w:t xml:space="preserve"> </w:t>
      </w:r>
      <w:r w:rsidRPr="00C93473">
        <w:rPr>
          <w:rFonts w:ascii="Sylfaen" w:hAnsi="Sylfaen"/>
          <w:sz w:val="24"/>
          <w:szCs w:val="24"/>
        </w:rPr>
        <w:t>покрытие из дробленой древесины.</w:t>
      </w:r>
    </w:p>
    <w:sectPr w:rsidR="00083C4C" w:rsidRPr="002262F9" w:rsidSect="00C93473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0F" w:rsidRDefault="00A0500F" w:rsidP="00083C4C">
      <w:r>
        <w:separator/>
      </w:r>
    </w:p>
  </w:endnote>
  <w:endnote w:type="continuationSeparator" w:id="0">
    <w:p w:rsidR="00A0500F" w:rsidRDefault="00A0500F" w:rsidP="0008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0F" w:rsidRDefault="00A0500F">
      <w:r>
        <w:separator/>
      </w:r>
    </w:p>
  </w:footnote>
  <w:footnote w:type="continuationSeparator" w:id="0">
    <w:p w:rsidR="00A0500F" w:rsidRDefault="00A0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E62"/>
    <w:multiLevelType w:val="multilevel"/>
    <w:tmpl w:val="0DAC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3F029E"/>
    <w:multiLevelType w:val="multilevel"/>
    <w:tmpl w:val="2040B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9C05AE"/>
    <w:multiLevelType w:val="multilevel"/>
    <w:tmpl w:val="71E02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83E1B"/>
    <w:multiLevelType w:val="multilevel"/>
    <w:tmpl w:val="8B20C050"/>
    <w:lvl w:ilvl="0">
      <w:start w:val="7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B15AD"/>
    <w:multiLevelType w:val="multilevel"/>
    <w:tmpl w:val="8876B192"/>
    <w:lvl w:ilvl="0">
      <w:start w:val="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725108"/>
    <w:multiLevelType w:val="multilevel"/>
    <w:tmpl w:val="F08AA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C53881"/>
    <w:multiLevelType w:val="multilevel"/>
    <w:tmpl w:val="CA665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EA4B7C"/>
    <w:multiLevelType w:val="multilevel"/>
    <w:tmpl w:val="12F475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3C4C"/>
    <w:rsid w:val="00083C4C"/>
    <w:rsid w:val="002262F9"/>
    <w:rsid w:val="00293BBC"/>
    <w:rsid w:val="0070042C"/>
    <w:rsid w:val="00937BFE"/>
    <w:rsid w:val="00A0500F"/>
    <w:rsid w:val="00C93473"/>
    <w:rsid w:val="00C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3C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3C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83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83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083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83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3 pt,Spacing 1 pt"/>
    <w:basedOn w:val="Bodytext2"/>
    <w:rsid w:val="00083C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083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1">
    <w:name w:val="Body text (2) + 12 pt"/>
    <w:aliases w:val="Spacing -1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2">
    <w:name w:val="Body text (2) + 12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3">
    <w:name w:val="Body text (2) + 12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83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083C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5pt">
    <w:name w:val="Body text (2) + 5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13pt0">
    <w:name w:val="Body text (2) + 13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rebuchetMS">
    <w:name w:val="Body text (2) + Trebuchet MS"/>
    <w:aliases w:val="12 pt"/>
    <w:basedOn w:val="Bodytext2"/>
    <w:rsid w:val="00083C4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1">
    <w:name w:val="Body text (2) + 13 pt"/>
    <w:basedOn w:val="Bodytext2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rebuchetMS0">
    <w:name w:val="Body text (2) + Trebuchet MS"/>
    <w:aliases w:val="10.5 pt"/>
    <w:basedOn w:val="Bodytext2"/>
    <w:rsid w:val="00083C4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TrebuchetMS1">
    <w:name w:val="Body text (2) + Trebuchet MS"/>
    <w:aliases w:val="11.5 pt"/>
    <w:basedOn w:val="Bodytext2"/>
    <w:rsid w:val="00083C4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083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083C4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83C4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083C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83C4C"/>
    <w:pPr>
      <w:shd w:val="clear" w:color="auto" w:fill="FFFFFF"/>
      <w:spacing w:before="600" w:line="533" w:lineRule="exact"/>
      <w:ind w:hanging="4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0">
    <w:name w:val="Footnote"/>
    <w:basedOn w:val="Normal"/>
    <w:link w:val="Footnote"/>
    <w:rsid w:val="00083C4C"/>
    <w:pPr>
      <w:shd w:val="clear" w:color="auto" w:fill="FFFFFF"/>
      <w:spacing w:line="0" w:lineRule="atLeast"/>
      <w:ind w:hanging="148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29</Pages>
  <Words>7205</Words>
  <Characters>41070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2018-03-26T10:18:00Z</dcterms:created>
  <dcterms:modified xsi:type="dcterms:W3CDTF">2018-11-15T12:28:00Z</dcterms:modified>
</cp:coreProperties>
</file>