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8654" w14:textId="77777777" w:rsidR="005A5989" w:rsidRPr="005A5989" w:rsidRDefault="005A5989" w:rsidP="005A5989">
      <w:pPr>
        <w:widowControl w:val="0"/>
        <w:spacing w:line="36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5A5989">
        <w:rPr>
          <w:rFonts w:ascii="Sylfaen" w:hAnsi="Sylfaen"/>
          <w:sz w:val="24"/>
          <w:szCs w:val="24"/>
        </w:rPr>
        <w:t xml:space="preserve">ՀԱՍՏԱՏՎԱԾ Է </w:t>
      </w:r>
    </w:p>
    <w:p w14:paraId="76FC0DF1" w14:textId="77777777" w:rsidR="00380C4B" w:rsidRPr="005A5989" w:rsidRDefault="005A5989" w:rsidP="005A5989">
      <w:pPr>
        <w:widowControl w:val="0"/>
        <w:spacing w:line="360" w:lineRule="auto"/>
        <w:ind w:left="5103"/>
        <w:jc w:val="center"/>
        <w:rPr>
          <w:rFonts w:ascii="Sylfaen" w:hAnsi="Sylfaen"/>
          <w:caps/>
          <w:sz w:val="24"/>
          <w:szCs w:val="24"/>
        </w:rPr>
      </w:pPr>
      <w:r w:rsidRPr="005A5989">
        <w:rPr>
          <w:rFonts w:ascii="Sylfaen" w:hAnsi="Sylfaen"/>
          <w:sz w:val="24"/>
          <w:szCs w:val="24"/>
        </w:rPr>
        <w:t xml:space="preserve">Եվրասիական տնտեսական </w:t>
      </w:r>
      <w:r w:rsidRPr="005A5989">
        <w:rPr>
          <w:rFonts w:ascii="Sylfaen" w:hAnsi="Sylfaen"/>
          <w:sz w:val="24"/>
          <w:szCs w:val="24"/>
        </w:rPr>
        <w:br/>
        <w:t xml:space="preserve">հանձնաժողովի կոլեգիայի </w:t>
      </w:r>
      <w:r>
        <w:rPr>
          <w:rFonts w:ascii="Sylfaen" w:hAnsi="Sylfaen"/>
          <w:sz w:val="24"/>
          <w:szCs w:val="24"/>
          <w:lang w:val="en-US"/>
        </w:rPr>
        <w:br/>
      </w:r>
      <w:r w:rsidRPr="005A5989">
        <w:rPr>
          <w:rFonts w:ascii="Sylfaen" w:hAnsi="Sylfaen"/>
          <w:sz w:val="24"/>
          <w:szCs w:val="24"/>
        </w:rPr>
        <w:t xml:space="preserve">2023 թվականի նոյեմբերի 21-ի </w:t>
      </w:r>
      <w:r>
        <w:rPr>
          <w:rFonts w:ascii="Sylfaen" w:hAnsi="Sylfaen"/>
          <w:sz w:val="24"/>
          <w:szCs w:val="24"/>
          <w:lang w:val="en-US"/>
        </w:rPr>
        <w:br/>
      </w:r>
      <w:r w:rsidRPr="005A5989">
        <w:rPr>
          <w:rFonts w:ascii="Sylfaen" w:hAnsi="Sylfaen"/>
          <w:sz w:val="24"/>
          <w:szCs w:val="24"/>
        </w:rPr>
        <w:t>թիվ 162 որոշմամբ</w:t>
      </w:r>
    </w:p>
    <w:p w14:paraId="3EAFD70E" w14:textId="77777777" w:rsidR="005A5989" w:rsidRDefault="005A5989" w:rsidP="00D446B0">
      <w:pPr>
        <w:pStyle w:val="a0"/>
        <w:widowControl w:val="0"/>
        <w:spacing w:before="0" w:after="160" w:line="360" w:lineRule="auto"/>
        <w:rPr>
          <w:rFonts w:ascii="Sylfaen" w:hAnsi="Sylfaen"/>
          <w:caps w:val="0"/>
          <w:spacing w:val="0"/>
          <w:sz w:val="24"/>
          <w:szCs w:val="24"/>
          <w:lang w:val="en-US"/>
        </w:rPr>
      </w:pPr>
    </w:p>
    <w:p w14:paraId="7AD9FB57" w14:textId="77777777" w:rsidR="007B29FD" w:rsidRPr="00D446B0" w:rsidRDefault="007B29FD" w:rsidP="00D446B0">
      <w:pPr>
        <w:pStyle w:val="a0"/>
        <w:widowControl w:val="0"/>
        <w:spacing w:before="0" w:after="160" w:line="360" w:lineRule="auto"/>
        <w:rPr>
          <w:rFonts w:ascii="Sylfaen" w:hAnsi="Sylfaen"/>
          <w:caps w:val="0"/>
          <w:spacing w:val="0"/>
          <w:sz w:val="24"/>
          <w:szCs w:val="24"/>
        </w:rPr>
      </w:pPr>
      <w:r w:rsidRPr="00D446B0">
        <w:rPr>
          <w:rFonts w:ascii="Sylfaen" w:hAnsi="Sylfaen"/>
          <w:caps w:val="0"/>
          <w:spacing w:val="0"/>
          <w:sz w:val="24"/>
          <w:szCs w:val="24"/>
        </w:rPr>
        <w:t>Կարգ</w:t>
      </w:r>
    </w:p>
    <w:p w14:paraId="178C2ED8" w14:textId="531ACDFD" w:rsidR="007B29FD" w:rsidRPr="00D446B0" w:rsidRDefault="007B29FD" w:rsidP="00D446B0">
      <w:pPr>
        <w:pStyle w:val="a"/>
        <w:keepLines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««Մաքսային տարանցում» մաքսային ընթացակարգին համապատասխան ապրանքների փոխադրումների վերահսկման ընթացքում Եվրասիական տնտեսական միության անդամ պետությունների մաքսային մարմինների միջ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էլեկտրոնային փաստաթղթերի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(կամ) տեղեկությունների փոխանակման ապահովում» ընդհանուր գործընթացին միանալու</w:t>
      </w:r>
    </w:p>
    <w:p w14:paraId="77EDE038" w14:textId="77777777" w:rsidR="00D446B0" w:rsidRDefault="00D446B0" w:rsidP="00D446B0">
      <w:pPr>
        <w:pStyle w:val="Heading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/>
          <w:sz w:val="24"/>
          <w:szCs w:val="24"/>
        </w:rPr>
      </w:pPr>
      <w:bookmarkStart w:id="0" w:name="_Toc351924578"/>
      <w:bookmarkStart w:id="1" w:name="_Toc365295209"/>
      <w:bookmarkStart w:id="2" w:name="_Toc373227713"/>
    </w:p>
    <w:p w14:paraId="7BBFB6AE" w14:textId="77777777" w:rsidR="007B29FD" w:rsidRPr="00D446B0" w:rsidRDefault="007B29FD" w:rsidP="00D446B0">
      <w:pPr>
        <w:pStyle w:val="Heading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I. Ընդհանուր</w:t>
      </w:r>
      <w:bookmarkEnd w:id="0"/>
      <w:bookmarkEnd w:id="1"/>
      <w:bookmarkEnd w:id="2"/>
      <w:r w:rsidR="00D446B0" w:rsidRPr="00D446B0">
        <w:rPr>
          <w:rFonts w:ascii="Sylfaen" w:hAnsi="Sylfaen"/>
          <w:sz w:val="24"/>
          <w:szCs w:val="24"/>
        </w:rPr>
        <w:t xml:space="preserve"> </w:t>
      </w:r>
      <w:r w:rsidRPr="00D446B0">
        <w:rPr>
          <w:rFonts w:ascii="Sylfaen" w:hAnsi="Sylfaen"/>
          <w:sz w:val="24"/>
          <w:szCs w:val="24"/>
        </w:rPr>
        <w:t>դրույթներ</w:t>
      </w:r>
    </w:p>
    <w:p w14:paraId="04D0389C" w14:textId="03C7CE37" w:rsidR="007B29FD" w:rsidRPr="00D446B0" w:rsidRDefault="007B29FD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eastAsia="Times New Roma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1.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Սույն կարգը մշակվել է Եվրասիական տնտեսական միության (այսուհետ՝ Միություն) իրավունքի մաս կազմող հետ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>յալ ակտերին համապատասխան.</w:t>
      </w:r>
    </w:p>
    <w:p w14:paraId="431874D7" w14:textId="77777777" w:rsidR="00721952" w:rsidRPr="00D446B0" w:rsidRDefault="0072195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«Եվրասիական տնտեսական միության մասին» 2014 թվականի մայիսի 29-ի պայմանագիր.</w:t>
      </w:r>
    </w:p>
    <w:p w14:paraId="1C47307A" w14:textId="77777777" w:rsidR="00721952" w:rsidRPr="00D446B0" w:rsidRDefault="0072195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Եվրասիական տնտեսական միության մաքսային օրենսգիրք (այսուհետ՝ Օրենսգիրք).</w:t>
      </w:r>
    </w:p>
    <w:p w14:paraId="721B8006" w14:textId="664D0F69" w:rsidR="00721952" w:rsidRPr="00D446B0" w:rsidRDefault="0072195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 xml:space="preserve">«Ընդհանուր գործընթացներն արտաքին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փոխադարձ առ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տրի ինտեգրված տեղեկատվական համակարգի միջոցներով իրագործելիս տեղեկատվական փոխգործակցությունը կանոնակարգող տեխնոլոգիական փաստաթղթերի մասին» </w:t>
      </w:r>
      <w:r w:rsidR="00EC6DDD" w:rsidRPr="00D446B0">
        <w:rPr>
          <w:rFonts w:ascii="Sylfaen" w:hAnsi="Sylfaen"/>
          <w:sz w:val="24"/>
          <w:szCs w:val="24"/>
        </w:rPr>
        <w:t>Եվրասիական տնտեսական հանձնաժողովի կոլեգիայի 2014 թվականի նոյեմբերի</w:t>
      </w:r>
      <w:r w:rsidR="00AD76E1" w:rsidRPr="00AD76E1">
        <w:rPr>
          <w:rFonts w:ascii="Sylfaen" w:hAnsi="Sylfaen"/>
          <w:sz w:val="24"/>
          <w:szCs w:val="24"/>
        </w:rPr>
        <w:t> </w:t>
      </w:r>
      <w:r w:rsidR="00EC6DDD" w:rsidRPr="00D446B0">
        <w:rPr>
          <w:rFonts w:ascii="Sylfaen" w:hAnsi="Sylfaen"/>
          <w:sz w:val="24"/>
          <w:szCs w:val="24"/>
        </w:rPr>
        <w:t xml:space="preserve">6-ի </w:t>
      </w:r>
      <w:r w:rsidRPr="00D446B0">
        <w:rPr>
          <w:rFonts w:ascii="Sylfaen" w:hAnsi="Sylfaen"/>
          <w:sz w:val="24"/>
          <w:szCs w:val="24"/>
        </w:rPr>
        <w:t>թիվ 200 որոշում.</w:t>
      </w:r>
    </w:p>
    <w:p w14:paraId="240B5FDE" w14:textId="4AC5FC65" w:rsidR="00721952" w:rsidRPr="00D446B0" w:rsidRDefault="0072195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lastRenderedPageBreak/>
        <w:t xml:space="preserve">«Արտաքին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փոխադարձ առ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տրի ինտեգրված տեղեկատվական համակարգում տվյալների էլեկտրոնային փոխանակման կանոնները հաստատելու մասին» </w:t>
      </w:r>
      <w:r w:rsidR="00EC6DDD" w:rsidRPr="00D446B0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հունվարի 27-ի </w:t>
      </w:r>
      <w:r w:rsidRPr="00D446B0">
        <w:rPr>
          <w:rFonts w:ascii="Sylfaen" w:hAnsi="Sylfaen"/>
          <w:sz w:val="24"/>
          <w:szCs w:val="24"/>
        </w:rPr>
        <w:t>թիվ 5 որոշում.</w:t>
      </w:r>
    </w:p>
    <w:p w14:paraId="63697A86" w14:textId="7E1BF321" w:rsidR="00721952" w:rsidRPr="00D446B0" w:rsidRDefault="0072195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 xml:space="preserve">«Եվրասիական տնտեսական միության շրջանակներում ընդհանուր գործընթացների ցանկի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Եվրասիական տնտեսական հանձնաժողովի կոլեգիայի</w:t>
      </w:r>
      <w:r w:rsidR="0056581D" w:rsidRPr="00D446B0">
        <w:rPr>
          <w:rFonts w:ascii="Sylfaen" w:hAnsi="Sylfaen"/>
          <w:sz w:val="24"/>
          <w:szCs w:val="24"/>
        </w:rPr>
        <w:t>՝</w:t>
      </w:r>
      <w:r w:rsidRPr="00D446B0">
        <w:rPr>
          <w:rFonts w:ascii="Sylfaen" w:hAnsi="Sylfaen"/>
          <w:sz w:val="24"/>
          <w:szCs w:val="24"/>
        </w:rPr>
        <w:t xml:space="preserve"> 2014 թվականի օգոստոսի 19-ի թիվ 132 որոշման մեջ փոփոխություն կատարելու մասին» </w:t>
      </w:r>
      <w:r w:rsidR="00EC6DDD" w:rsidRPr="00D446B0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ապրիլի 14-ի </w:t>
      </w:r>
      <w:r w:rsidRPr="00D446B0">
        <w:rPr>
          <w:rFonts w:ascii="Sylfaen" w:hAnsi="Sylfaen"/>
          <w:sz w:val="24"/>
          <w:szCs w:val="24"/>
        </w:rPr>
        <w:t>թիվ 29 որոշում.</w:t>
      </w:r>
    </w:p>
    <w:p w14:paraId="608E4D54" w14:textId="0DAFE09F" w:rsidR="00721952" w:rsidRPr="00D446B0" w:rsidRDefault="0072195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 xml:space="preserve">«Եվրասիական տնտեսական միության շրջանակներում ընդհանուր գործընթացների վերլուծության, օպտիմալացման, ներդաշնակեցման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նկարագրման մեթոդակարգի մասին» </w:t>
      </w:r>
      <w:r w:rsidR="00EC6DDD" w:rsidRPr="00D446B0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հունիսի 9-ի </w:t>
      </w:r>
      <w:r w:rsidRPr="00D446B0">
        <w:rPr>
          <w:rFonts w:ascii="Sylfaen" w:hAnsi="Sylfaen"/>
          <w:sz w:val="24"/>
          <w:szCs w:val="24"/>
        </w:rPr>
        <w:t>թիվ 63 որոշում.</w:t>
      </w:r>
    </w:p>
    <w:p w14:paraId="4E3989DF" w14:textId="6E8A8C3B" w:rsidR="00721952" w:rsidRPr="00D446B0" w:rsidRDefault="0072195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«Եվրասիական տնտեսական միության անդամ պետությունների պետական իշխանության մարմինների</w:t>
      </w:r>
      <w:r w:rsidR="0056581D" w:rsidRPr="00D446B0">
        <w:rPr>
          <w:rFonts w:ascii="Sylfaen" w:hAnsi="Sylfaen"/>
          <w:sz w:val="24"/>
          <w:szCs w:val="24"/>
        </w:rPr>
        <w:t>՝</w:t>
      </w:r>
      <w:r w:rsidRPr="00D446B0">
        <w:rPr>
          <w:rFonts w:ascii="Sylfaen" w:hAnsi="Sylfaen"/>
          <w:sz w:val="24"/>
          <w:szCs w:val="24"/>
        </w:rPr>
        <w:t xml:space="preserve"> միմյանց միջ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Եվրասիական տնտեսական հանձնաժողովի հետ անդրսահմանային փոխգործակցության ժամանակ էլեկտրոնային փաստաթղթերի փոխանակման վերաբերյալ հիմնադրույթի հաստատման մասին» </w:t>
      </w:r>
      <w:r w:rsidR="00EC6DDD" w:rsidRPr="00D446B0">
        <w:rPr>
          <w:rFonts w:ascii="Sylfaen" w:hAnsi="Sylfaen"/>
          <w:sz w:val="24"/>
          <w:szCs w:val="24"/>
        </w:rPr>
        <w:t>Եվրասիական տնտեսական հանձնաժողովի կոլեգիայի 2015</w:t>
      </w:r>
      <w:r w:rsidR="009C3F9F" w:rsidRPr="009C3F9F">
        <w:rPr>
          <w:rFonts w:ascii="Sylfaen" w:hAnsi="Sylfaen"/>
          <w:sz w:val="24"/>
          <w:szCs w:val="24"/>
        </w:rPr>
        <w:t> </w:t>
      </w:r>
      <w:r w:rsidR="00EC6DDD" w:rsidRPr="00D446B0">
        <w:rPr>
          <w:rFonts w:ascii="Sylfaen" w:hAnsi="Sylfaen"/>
          <w:sz w:val="24"/>
          <w:szCs w:val="24"/>
        </w:rPr>
        <w:t xml:space="preserve">թվականի սեպտեմբերի 28-ի </w:t>
      </w:r>
      <w:r w:rsidRPr="00D446B0">
        <w:rPr>
          <w:rFonts w:ascii="Sylfaen" w:hAnsi="Sylfaen"/>
          <w:sz w:val="24"/>
          <w:szCs w:val="24"/>
        </w:rPr>
        <w:t>թիվ 125 որոշում.</w:t>
      </w:r>
    </w:p>
    <w:p w14:paraId="106B219B" w14:textId="537908A3" w:rsidR="00721952" w:rsidRPr="00D446B0" w:rsidRDefault="0072195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 xml:space="preserve">«FIFA Ֆուտբոլի աշխարհի 2018 թվականի առաջնության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FIFA Կոնֆեդերացիաների 2017 թվականի գավաթի, UEFA Ֆուտբոլի Եվրոպայի 2020</w:t>
      </w:r>
      <w:r w:rsidR="009C3F9F" w:rsidRPr="009C3F9F">
        <w:rPr>
          <w:rFonts w:ascii="Sylfaen" w:hAnsi="Sylfaen"/>
          <w:sz w:val="24"/>
          <w:szCs w:val="24"/>
        </w:rPr>
        <w:t> </w:t>
      </w:r>
      <w:r w:rsidRPr="00D446B0">
        <w:rPr>
          <w:rFonts w:ascii="Sylfaen" w:hAnsi="Sylfaen"/>
          <w:sz w:val="24"/>
          <w:szCs w:val="24"/>
        </w:rPr>
        <w:t xml:space="preserve">թվականի առաջնության կազմակերպման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անցկացման ժամանակ կամ դրանց նախապատրաստվելու համար մարզական միջոցառումների անցկացման ժամանակ օգտագործելու համար նախատեսված օտարերկրյա ապրանքների մաքսային հայտարարագրման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ապրանքների տեղափոխման առանձնահատկությունների դասակարգչում փոփոխություն կատարելու մասին» </w:t>
      </w:r>
      <w:r w:rsidR="00EC6DDD" w:rsidRPr="00D446B0">
        <w:rPr>
          <w:rFonts w:ascii="Sylfaen" w:hAnsi="Sylfaen"/>
          <w:sz w:val="24"/>
          <w:szCs w:val="24"/>
        </w:rPr>
        <w:t xml:space="preserve">Եվրասիական տնտեսական հանձնաժողովի կոլեգիայի 2017 թվականի մայիսի 2-ի </w:t>
      </w:r>
      <w:r w:rsidRPr="00D446B0">
        <w:rPr>
          <w:rFonts w:ascii="Sylfaen" w:hAnsi="Sylfaen"/>
          <w:sz w:val="24"/>
          <w:szCs w:val="24"/>
        </w:rPr>
        <w:t>թիվ 43 որոշում.</w:t>
      </w:r>
    </w:p>
    <w:p w14:paraId="78F4F8DE" w14:textId="77777777" w:rsidR="00721952" w:rsidRPr="00D446B0" w:rsidRDefault="0072195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lastRenderedPageBreak/>
        <w:t xml:space="preserve">««Մաքսային տարանցում» մաքսային ընթացակարգի կիրառման որոշ հարցերի մասին» </w:t>
      </w:r>
      <w:r w:rsidR="00EC6DDD" w:rsidRPr="00D446B0">
        <w:rPr>
          <w:rFonts w:ascii="Sylfaen" w:hAnsi="Sylfaen"/>
          <w:sz w:val="24"/>
          <w:szCs w:val="24"/>
        </w:rPr>
        <w:t>Եվրասիական տնտեսական հանձնաժողովի կոլեգիայի 2017</w:t>
      </w:r>
      <w:r w:rsidR="009C3F9F" w:rsidRPr="009C3F9F">
        <w:rPr>
          <w:rFonts w:ascii="Sylfaen" w:hAnsi="Sylfaen"/>
          <w:sz w:val="24"/>
          <w:szCs w:val="24"/>
        </w:rPr>
        <w:t> </w:t>
      </w:r>
      <w:r w:rsidR="00EC6DDD" w:rsidRPr="00D446B0">
        <w:rPr>
          <w:rFonts w:ascii="Sylfaen" w:hAnsi="Sylfaen"/>
          <w:sz w:val="24"/>
          <w:szCs w:val="24"/>
        </w:rPr>
        <w:t xml:space="preserve">թվականի դեկտեմբերի 13-ի </w:t>
      </w:r>
      <w:r w:rsidRPr="00D446B0">
        <w:rPr>
          <w:rFonts w:ascii="Sylfaen" w:hAnsi="Sylfaen"/>
          <w:sz w:val="24"/>
          <w:szCs w:val="24"/>
        </w:rPr>
        <w:t>թիվ 170 որոշում.</w:t>
      </w:r>
    </w:p>
    <w:p w14:paraId="68FC5A60" w14:textId="77777777" w:rsidR="00721952" w:rsidRPr="00D446B0" w:rsidRDefault="0072195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 xml:space="preserve">«Ապրանքների բացթողմանն առնչվող որոշ հարցերի մասին» </w:t>
      </w:r>
      <w:r w:rsidR="00EC6DDD" w:rsidRPr="00D446B0">
        <w:rPr>
          <w:rFonts w:ascii="Sylfaen" w:hAnsi="Sylfaen"/>
          <w:sz w:val="24"/>
          <w:szCs w:val="24"/>
        </w:rPr>
        <w:t xml:space="preserve">Եվրասիական տնտեսական հանձնաժողովի կոլեգիայի 2017 թվականի դեկտեմբերի 19-ի </w:t>
      </w:r>
      <w:r w:rsidRPr="00D446B0">
        <w:rPr>
          <w:rFonts w:ascii="Sylfaen" w:hAnsi="Sylfaen"/>
          <w:sz w:val="24"/>
          <w:szCs w:val="24"/>
        </w:rPr>
        <w:t>թիվ 188 որոշում.</w:t>
      </w:r>
    </w:p>
    <w:p w14:paraId="34240D49" w14:textId="34C468BD" w:rsidR="00721952" w:rsidRPr="00D446B0" w:rsidRDefault="0072195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«««Մաքսային տարանցում» մաքսային ընթացակարգին համապատասխան ապրանքների փոխադրումների վերահսկման ընթացքում Եվրասիական տնտեսական միության անդամ պետությունների մաքսային մարմինների միջ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էլեկտրոնային փաստաթղթերի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(կամ) տեղեկությունների փոխանակման ապահովում» ընդհանուր գործընթացի իրագործման կանոնները հաստատելու մասին»</w:t>
      </w:r>
      <w:r w:rsidR="00EC6DDD" w:rsidRPr="00D446B0">
        <w:rPr>
          <w:rFonts w:ascii="Sylfaen" w:hAnsi="Sylfaen"/>
          <w:sz w:val="24"/>
          <w:szCs w:val="24"/>
        </w:rPr>
        <w:t xml:space="preserve"> Եվրասիական տնտեսական հանձնաժողովի կոլեգիայի 2019 թվականի հոկտեմբերի 29-ի</w:t>
      </w:r>
      <w:r w:rsidRPr="00D446B0">
        <w:rPr>
          <w:rFonts w:ascii="Sylfaen" w:hAnsi="Sylfaen"/>
          <w:sz w:val="24"/>
          <w:szCs w:val="24"/>
        </w:rPr>
        <w:t xml:space="preserve"> թիվ 185 որոշում.</w:t>
      </w:r>
    </w:p>
    <w:p w14:paraId="661E7F63" w14:textId="77777777" w:rsidR="00721952" w:rsidRPr="00D446B0" w:rsidRDefault="0072195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 xml:space="preserve">«Մաքսատուրքերի, հարկերի վճարման պարտավորության կատարման ապահովման հավաստագրի մասին» </w:t>
      </w:r>
      <w:r w:rsidR="00EC6DDD" w:rsidRPr="00D446B0">
        <w:rPr>
          <w:rFonts w:ascii="Sylfaen" w:hAnsi="Sylfaen"/>
          <w:sz w:val="24"/>
          <w:szCs w:val="24"/>
        </w:rPr>
        <w:t xml:space="preserve">Եվրասիական տնտեսական հանձնաժողովի կոլեգիայի 2019 թվականի նոյեմբերի 19-ի </w:t>
      </w:r>
      <w:r w:rsidRPr="00D446B0">
        <w:rPr>
          <w:rFonts w:ascii="Sylfaen" w:hAnsi="Sylfaen"/>
          <w:sz w:val="24"/>
          <w:szCs w:val="24"/>
        </w:rPr>
        <w:t>թիվ 199 որոշում.</w:t>
      </w:r>
    </w:p>
    <w:p w14:paraId="3B09D8F3" w14:textId="49F73E61" w:rsidR="00721952" w:rsidRPr="00D446B0" w:rsidRDefault="0072195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«Տարանցման հայտարարագրի ձ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ի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դրա լրացման կարգի հաստատման մասին, ինչպես նա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Մաքսային միության հանձնաժողովի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Եվրասիական տնտեսական հանձնաժողովի կոլեգիայի որոշ որոշումներում փոփոխություններ կատարելու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ուժը կորցրած ճանաչելու մասին» </w:t>
      </w:r>
      <w:r w:rsidR="00EC6DDD" w:rsidRPr="00D446B0">
        <w:rPr>
          <w:rFonts w:ascii="Sylfaen" w:hAnsi="Sylfaen"/>
          <w:sz w:val="24"/>
          <w:szCs w:val="24"/>
        </w:rPr>
        <w:t xml:space="preserve">Եվրասիական տնտեսական հանձնաժողովի կոլեգիայի 2023 թվականի մայիսի 30-ի </w:t>
      </w:r>
      <w:r w:rsidRPr="00D446B0">
        <w:rPr>
          <w:rFonts w:ascii="Sylfaen" w:hAnsi="Sylfaen"/>
          <w:sz w:val="24"/>
          <w:szCs w:val="24"/>
        </w:rPr>
        <w:t>թիվ 73 որոշում:</w:t>
      </w:r>
    </w:p>
    <w:p w14:paraId="03D4AFE8" w14:textId="77777777" w:rsidR="00D446B0" w:rsidRDefault="00D446B0" w:rsidP="00D446B0">
      <w:pPr>
        <w:pStyle w:val="Heading1"/>
        <w:keepNext w:val="0"/>
        <w:keepLines w:val="0"/>
        <w:widowControl w:val="0"/>
        <w:tabs>
          <w:tab w:val="left" w:pos="1134"/>
        </w:tabs>
        <w:spacing w:before="0" w:after="160" w:line="360" w:lineRule="auto"/>
        <w:ind w:firstLine="567"/>
        <w:contextualSpacing w:val="0"/>
        <w:jc w:val="both"/>
        <w:rPr>
          <w:rFonts w:ascii="Sylfaen" w:hAnsi="Sylfaen"/>
          <w:sz w:val="24"/>
          <w:szCs w:val="24"/>
        </w:rPr>
      </w:pPr>
    </w:p>
    <w:p w14:paraId="116D11A7" w14:textId="77777777" w:rsidR="007B29FD" w:rsidRPr="00D446B0" w:rsidRDefault="00D446B0" w:rsidP="00D446B0">
      <w:pPr>
        <w:pStyle w:val="Heading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II. </w:t>
      </w:r>
      <w:r w:rsidR="007B29FD" w:rsidRPr="00D446B0">
        <w:rPr>
          <w:rFonts w:ascii="Sylfaen" w:hAnsi="Sylfaen"/>
          <w:sz w:val="24"/>
          <w:szCs w:val="24"/>
        </w:rPr>
        <w:t>Կիրառության ոլորտը</w:t>
      </w:r>
    </w:p>
    <w:p w14:paraId="204AFA41" w14:textId="5F2E2008" w:rsidR="007D0302" w:rsidRPr="00D446B0" w:rsidRDefault="00D446B0" w:rsidP="00AD76E1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7B29FD" w:rsidRPr="00D446B0">
        <w:rPr>
          <w:rFonts w:ascii="Sylfaen" w:hAnsi="Sylfaen"/>
          <w:sz w:val="24"/>
          <w:szCs w:val="24"/>
        </w:rPr>
        <w:t>Սույն կարգով սահմանվում են ««Մաքսային տարանցում» մաքսային ընթացակարգին համապատասխան ապրանքների փոխադրումների վերահսկման ընթացքում Եվրասիական տնտեսական միության անդամ պետությունների մաքսային մարմինների միջ</w:t>
      </w:r>
      <w:r w:rsidR="00344302">
        <w:rPr>
          <w:rFonts w:ascii="Sylfaen" w:hAnsi="Sylfaen"/>
          <w:sz w:val="24"/>
          <w:szCs w:val="24"/>
        </w:rPr>
        <w:t>և</w:t>
      </w:r>
      <w:r w:rsidR="007B29FD" w:rsidRPr="00D446B0">
        <w:rPr>
          <w:rFonts w:ascii="Sylfaen" w:hAnsi="Sylfaen"/>
          <w:sz w:val="24"/>
          <w:szCs w:val="24"/>
        </w:rPr>
        <w:t xml:space="preserve"> էլեկտրոնային փաստաթղթերի </w:t>
      </w:r>
      <w:r w:rsidR="00344302">
        <w:rPr>
          <w:rFonts w:ascii="Sylfaen" w:hAnsi="Sylfaen"/>
          <w:sz w:val="24"/>
          <w:szCs w:val="24"/>
        </w:rPr>
        <w:t>և</w:t>
      </w:r>
      <w:r w:rsidR="007B29FD" w:rsidRPr="00D446B0">
        <w:rPr>
          <w:rFonts w:ascii="Sylfaen" w:hAnsi="Sylfaen"/>
          <w:sz w:val="24"/>
          <w:szCs w:val="24"/>
        </w:rPr>
        <w:t xml:space="preserve"> (կամ) </w:t>
      </w:r>
      <w:r w:rsidR="007B29FD" w:rsidRPr="00D446B0">
        <w:rPr>
          <w:rFonts w:ascii="Sylfaen" w:hAnsi="Sylfaen"/>
          <w:sz w:val="24"/>
          <w:szCs w:val="24"/>
        </w:rPr>
        <w:lastRenderedPageBreak/>
        <w:t>տեղեկությունների փոխանակման ապահովում» ընդհանուր գործընթացին (այսուհետ՝ ընդհանուր գործընթաց) (P.CP.01) մասնակցի միանալու դեպքում տեղեկատվական փոխգործակցությանը ներկայացվող պահանջները:</w:t>
      </w:r>
      <w:r w:rsidRPr="00D446B0">
        <w:rPr>
          <w:rFonts w:ascii="Sylfaen" w:hAnsi="Sylfaen"/>
          <w:sz w:val="24"/>
          <w:szCs w:val="24"/>
        </w:rPr>
        <w:t xml:space="preserve"> </w:t>
      </w:r>
    </w:p>
    <w:p w14:paraId="776F4722" w14:textId="77777777" w:rsidR="007B29FD" w:rsidRDefault="007D0302" w:rsidP="00D446B0">
      <w:pPr>
        <w:pStyle w:val="a4"/>
        <w:widowControl w:val="0"/>
        <w:tabs>
          <w:tab w:val="left" w:pos="1134"/>
        </w:tabs>
        <w:spacing w:after="160" w:line="360" w:lineRule="auto"/>
        <w:ind w:right="-2"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3.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 xml:space="preserve">Սույն կարգում սահմանված ընթացակարգերը կատարվում են փոխգործակցության մասնակցի կողմից՝ ընդհանուր գործընթացին մասնակցի միանալու դեպքում: </w:t>
      </w:r>
    </w:p>
    <w:p w14:paraId="0308D40C" w14:textId="77777777" w:rsidR="00D446B0" w:rsidRPr="00D446B0" w:rsidRDefault="00D446B0" w:rsidP="00D446B0">
      <w:pPr>
        <w:pStyle w:val="a4"/>
        <w:widowControl w:val="0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14:paraId="04BB8B08" w14:textId="77777777" w:rsidR="00C853C5" w:rsidRPr="00D446B0" w:rsidRDefault="00C853C5" w:rsidP="00D446B0">
      <w:pPr>
        <w:pStyle w:val="Heading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III.</w:t>
      </w:r>
      <w:r w:rsidR="00D446B0">
        <w:rPr>
          <w:rFonts w:ascii="Sylfaen" w:hAnsi="Sylfaen"/>
          <w:sz w:val="24"/>
          <w:szCs w:val="24"/>
        </w:rPr>
        <w:t xml:space="preserve"> </w:t>
      </w:r>
      <w:r w:rsidRPr="00D446B0">
        <w:rPr>
          <w:rFonts w:ascii="Sylfaen" w:hAnsi="Sylfaen"/>
          <w:sz w:val="24"/>
          <w:szCs w:val="24"/>
        </w:rPr>
        <w:t>Հիմնական հասկացությունները</w:t>
      </w:r>
    </w:p>
    <w:p w14:paraId="29D16E01" w14:textId="2EE5A16C" w:rsidR="00C853C5" w:rsidRPr="00D446B0" w:rsidRDefault="007D030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4.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Սույն կարգի նպատակների համար օգտագործվում են հասկացություններ, որոնք ունեն հետ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>յալ իմաստը.</w:t>
      </w:r>
    </w:p>
    <w:p w14:paraId="6275DA65" w14:textId="290B1528" w:rsidR="00C853C5" w:rsidRPr="00D446B0" w:rsidRDefault="00C853C5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outlineLvl w:val="9"/>
        <w:rPr>
          <w:rFonts w:ascii="Sylfaen" w:hAnsi="Sylfaen"/>
          <w:sz w:val="24"/>
          <w:szCs w:val="24"/>
        </w:rPr>
      </w:pPr>
      <w:r w:rsidRPr="00AD76E1">
        <w:rPr>
          <w:rFonts w:ascii="Sylfaen" w:hAnsi="Sylfaen"/>
          <w:b/>
          <w:sz w:val="24"/>
          <w:szCs w:val="24"/>
        </w:rPr>
        <w:t xml:space="preserve">ինտեգրված տեղեկատվական համակարգի </w:t>
      </w:r>
      <w:r w:rsidR="004B6C08" w:rsidRPr="00AD76E1">
        <w:rPr>
          <w:rFonts w:ascii="Sylfaen" w:hAnsi="Sylfaen"/>
          <w:b/>
          <w:sz w:val="24"/>
          <w:szCs w:val="24"/>
        </w:rPr>
        <w:t>գործունեությունն</w:t>
      </w:r>
      <w:r w:rsidRPr="00AD76E1">
        <w:rPr>
          <w:rFonts w:ascii="Sylfaen" w:hAnsi="Sylfaen"/>
          <w:b/>
          <w:sz w:val="24"/>
          <w:szCs w:val="24"/>
        </w:rPr>
        <w:t xml:space="preserve"> ապահովելիս կիրառվող փաստաթղթեր՝</w:t>
      </w:r>
      <w:r w:rsidRPr="00D446B0">
        <w:rPr>
          <w:rFonts w:ascii="Sylfaen" w:hAnsi="Sylfaen"/>
          <w:sz w:val="24"/>
          <w:szCs w:val="24"/>
        </w:rPr>
        <w:t xml:space="preserve"> Եվրասիական տնտեսական միության շրջանակներում տեղեկատվական-հաղորդակցական տեխնոլոգիաների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տեղեկատվական փոխգործակցության մասին արձանագրության (Եվրասիական տնտեսական միության</w:t>
      </w:r>
      <w:r w:rsidR="0056581D" w:rsidRPr="00D446B0">
        <w:rPr>
          <w:rFonts w:ascii="Sylfaen" w:hAnsi="Sylfaen"/>
          <w:sz w:val="24"/>
          <w:szCs w:val="24"/>
        </w:rPr>
        <w:t>՝</w:t>
      </w:r>
      <w:r w:rsidRPr="00D446B0">
        <w:rPr>
          <w:rFonts w:ascii="Sylfaen" w:hAnsi="Sylfaen"/>
          <w:sz w:val="24"/>
          <w:szCs w:val="24"/>
        </w:rPr>
        <w:t xml:space="preserve"> 2014 թվականի մայիսի 29-ի պայմանագրի թիվ 3 հավելված) 30-րդ կետին համապատասխան Եվրասիական տնտեսական հանձնաժողովի կողմից մշակվող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հաստատվող տեխնիկական, տեխնոլոգիական, մեթոդական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կազմակերպական փաստաթղթեր.</w:t>
      </w:r>
      <w:r w:rsidR="00D446B0" w:rsidRPr="00D446B0">
        <w:rPr>
          <w:rFonts w:ascii="Sylfaen" w:hAnsi="Sylfaen"/>
          <w:sz w:val="24"/>
          <w:szCs w:val="24"/>
        </w:rPr>
        <w:t xml:space="preserve"> </w:t>
      </w:r>
    </w:p>
    <w:p w14:paraId="5E482E91" w14:textId="77777777" w:rsidR="00C853C5" w:rsidRPr="00D446B0" w:rsidRDefault="00C853C5" w:rsidP="00D446B0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AD76E1">
        <w:rPr>
          <w:rFonts w:ascii="Sylfaen" w:hAnsi="Sylfaen"/>
          <w:b/>
          <w:sz w:val="24"/>
        </w:rPr>
        <w:t>տեխնոլոգիական փաստաթղթեր՝</w:t>
      </w:r>
      <w:r w:rsidRPr="00D446B0">
        <w:rPr>
          <w:rFonts w:ascii="Sylfaen" w:hAnsi="Sylfaen"/>
          <w:sz w:val="24"/>
        </w:rPr>
        <w:t xml:space="preserve"> Եվրասիական տնտեսական հանձնաժողովի կոլեգիայի</w:t>
      </w:r>
      <w:r w:rsidR="0056581D" w:rsidRPr="00D446B0">
        <w:rPr>
          <w:rFonts w:ascii="Sylfaen" w:hAnsi="Sylfaen"/>
          <w:sz w:val="24"/>
        </w:rPr>
        <w:t>՝</w:t>
      </w:r>
      <w:r w:rsidRPr="00D446B0">
        <w:rPr>
          <w:rFonts w:ascii="Sylfaen" w:hAnsi="Sylfaen"/>
          <w:sz w:val="24"/>
        </w:rPr>
        <w:t xml:space="preserve"> 2014 թվականի նոյեմբերի 6-ի թիվ 200 որոշման 1-ին կետով նախատեսված՝ ընդհանուր գործընթացի իրագործման ժամանակ տեղեկատվական փոխգործակցությունը կանոնակարգող տեխնոլոգիական փաստաթղթերի տիպային ցանկում ներառված փաստաթղթեր:</w:t>
      </w:r>
    </w:p>
    <w:p w14:paraId="122F58FB" w14:textId="22F81E83" w:rsidR="00C853C5" w:rsidRPr="00D446B0" w:rsidRDefault="00C853C5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outlineLvl w:val="9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Սույն կարգում օգտագործվող մյուս հասկացությունները կիրառվում են Եվրասիական տնտեսական հանձնաժողովի կոլեգիայի</w:t>
      </w:r>
      <w:r w:rsidR="0056581D" w:rsidRPr="00D446B0">
        <w:rPr>
          <w:rFonts w:ascii="Sylfaen" w:hAnsi="Sylfaen"/>
          <w:sz w:val="24"/>
          <w:szCs w:val="24"/>
        </w:rPr>
        <w:t>՝</w:t>
      </w:r>
      <w:r w:rsidRPr="00D446B0">
        <w:rPr>
          <w:rFonts w:ascii="Sylfaen" w:hAnsi="Sylfaen"/>
          <w:sz w:val="24"/>
          <w:szCs w:val="24"/>
        </w:rPr>
        <w:t xml:space="preserve"> 2023 թվականի նոյեմբերի</w:t>
      </w:r>
      <w:r w:rsidR="00AD76E1" w:rsidRPr="00AD76E1">
        <w:rPr>
          <w:rFonts w:ascii="Sylfaen" w:hAnsi="Sylfaen"/>
          <w:sz w:val="24"/>
          <w:szCs w:val="24"/>
        </w:rPr>
        <w:t> </w:t>
      </w:r>
      <w:r w:rsidRPr="00D446B0">
        <w:rPr>
          <w:rFonts w:ascii="Sylfaen" w:hAnsi="Sylfaen"/>
          <w:sz w:val="24"/>
          <w:szCs w:val="24"/>
        </w:rPr>
        <w:t xml:space="preserve">21-ի թիվ 162 որոշմամբ հաստատված ««Մաքսային տարանցում» մաքսային ընթացակարգին համապատասխան ապրանքների փոխադրման </w:t>
      </w:r>
      <w:r w:rsidRPr="00D446B0">
        <w:rPr>
          <w:rFonts w:ascii="Sylfaen" w:hAnsi="Sylfaen"/>
          <w:sz w:val="24"/>
          <w:szCs w:val="24"/>
        </w:rPr>
        <w:lastRenderedPageBreak/>
        <w:t>վերահսկման ընթացքում Եվրասիական տնտեսական միության անդամ պետությունների մաքսային մարմինների միջ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էլեկտրոնային փաստաթղթերի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(կամ) տեղեկությունների փոխանակման ապահովում» ընդհանուր գործընթացի՝ ինտեգրված տեղեկատվական համակարգի միջոցներով իրագործման ժամանակ տեղեկատվական փոխգործակցության կանոնների (այսուհետ՝ Տեղեկատվական փոխգործակցության կանոններ) 4-րդ կետում սահմանված իմաստներով:</w:t>
      </w:r>
    </w:p>
    <w:p w14:paraId="3D7542AA" w14:textId="77777777" w:rsidR="00D446B0" w:rsidRDefault="00D446B0" w:rsidP="00D446B0">
      <w:pPr>
        <w:pStyle w:val="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/>
          <w:sz w:val="24"/>
          <w:szCs w:val="24"/>
        </w:rPr>
      </w:pPr>
    </w:p>
    <w:p w14:paraId="568B5769" w14:textId="77777777" w:rsidR="00004BC8" w:rsidRPr="00D446B0" w:rsidRDefault="005844FA" w:rsidP="00D446B0">
      <w:pPr>
        <w:pStyle w:val="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IV.</w:t>
      </w:r>
      <w:r w:rsidR="00D446B0">
        <w:rPr>
          <w:rFonts w:ascii="Sylfaen" w:hAnsi="Sylfaen"/>
          <w:sz w:val="24"/>
          <w:szCs w:val="24"/>
        </w:rPr>
        <w:t xml:space="preserve"> </w:t>
      </w:r>
      <w:r w:rsidRPr="00D446B0">
        <w:rPr>
          <w:rFonts w:ascii="Sylfaen" w:hAnsi="Sylfaen"/>
          <w:sz w:val="24"/>
          <w:szCs w:val="24"/>
        </w:rPr>
        <w:t>Փոխգործակցության մասնակիցները</w:t>
      </w:r>
    </w:p>
    <w:p w14:paraId="3AA54750" w14:textId="77777777" w:rsidR="00004BC8" w:rsidRPr="00D446B0" w:rsidRDefault="007D030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5.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 xml:space="preserve">Փոխգործակցության մասնակիցների կողմից ընդհանուր գործընթացին միանալու ընթացակարգերը կատարելիս նրանց դերերը բերված են աղյուսակում: </w:t>
      </w:r>
    </w:p>
    <w:p w14:paraId="71AD9EAD" w14:textId="77777777" w:rsidR="00AD76E1" w:rsidRPr="009C3F9F" w:rsidRDefault="00AD76E1" w:rsidP="00D446B0">
      <w:pPr>
        <w:pStyle w:val="a4"/>
        <w:widowControl w:val="0"/>
        <w:spacing w:after="160" w:line="360" w:lineRule="auto"/>
        <w:ind w:firstLine="0"/>
        <w:jc w:val="right"/>
        <w:outlineLvl w:val="9"/>
        <w:rPr>
          <w:rFonts w:ascii="Sylfaen" w:hAnsi="Sylfaen"/>
          <w:sz w:val="24"/>
          <w:szCs w:val="24"/>
        </w:rPr>
      </w:pPr>
    </w:p>
    <w:p w14:paraId="2CAD5227" w14:textId="77777777" w:rsidR="00004BC8" w:rsidRPr="00D446B0" w:rsidRDefault="00BE38D1" w:rsidP="00D446B0">
      <w:pPr>
        <w:pStyle w:val="a4"/>
        <w:widowControl w:val="0"/>
        <w:spacing w:after="160" w:line="360" w:lineRule="auto"/>
        <w:ind w:firstLine="0"/>
        <w:jc w:val="right"/>
        <w:outlineLvl w:val="9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Աղյուսակ</w:t>
      </w:r>
    </w:p>
    <w:p w14:paraId="10356D06" w14:textId="77777777" w:rsidR="00004BC8" w:rsidRPr="00D446B0" w:rsidRDefault="00004BC8" w:rsidP="00D446B0">
      <w:pPr>
        <w:pStyle w:val="a4"/>
        <w:widowControl w:val="0"/>
        <w:spacing w:after="160" w:line="360" w:lineRule="auto"/>
        <w:ind w:firstLine="0"/>
        <w:jc w:val="center"/>
        <w:outlineLvl w:val="9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Փոխգործակցության մասնակիցների դերերը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698"/>
        <w:gridCol w:w="2682"/>
        <w:gridCol w:w="2987"/>
      </w:tblGrid>
      <w:tr w:rsidR="004F6652" w:rsidRPr="00D446B0" w14:paraId="4FB23F54" w14:textId="77777777" w:rsidTr="00AD76E1">
        <w:trPr>
          <w:cantSplit/>
          <w:tblHeader/>
          <w:jc w:val="center"/>
        </w:trPr>
        <w:tc>
          <w:tcPr>
            <w:tcW w:w="989" w:type="dxa"/>
            <w:shd w:val="clear" w:color="auto" w:fill="auto"/>
            <w:tcMar>
              <w:top w:w="85" w:type="dxa"/>
              <w:bottom w:w="85" w:type="dxa"/>
            </w:tcMar>
          </w:tcPr>
          <w:p w14:paraId="6CA44443" w14:textId="77777777" w:rsidR="00004BC8" w:rsidRPr="00D446B0" w:rsidRDefault="003A2361" w:rsidP="00D446B0">
            <w:pPr>
              <w:pStyle w:val="a4"/>
              <w:widowControl w:val="0"/>
              <w:spacing w:line="240" w:lineRule="auto"/>
              <w:ind w:firstLine="0"/>
              <w:jc w:val="center"/>
              <w:outlineLvl w:val="9"/>
              <w:rPr>
                <w:rFonts w:ascii="Sylfaen" w:hAnsi="Sylfaen"/>
                <w:color w:val="000000"/>
                <w:sz w:val="20"/>
                <w:szCs w:val="20"/>
              </w:rPr>
            </w:pPr>
            <w:r w:rsidRPr="00D446B0">
              <w:rPr>
                <w:rFonts w:ascii="Sylfaen" w:hAnsi="Sylfaen"/>
                <w:color w:val="000000"/>
                <w:sz w:val="20"/>
                <w:szCs w:val="20"/>
              </w:rPr>
              <w:t>Համարը</w:t>
            </w:r>
            <w:r w:rsidR="00AD76E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="00004BC8" w:rsidRPr="00D446B0">
              <w:rPr>
                <w:rFonts w:ascii="Sylfaen" w:hAnsi="Sylfaen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2698" w:type="dxa"/>
            <w:shd w:val="clear" w:color="auto" w:fill="auto"/>
            <w:tcMar>
              <w:top w:w="85" w:type="dxa"/>
              <w:bottom w:w="85" w:type="dxa"/>
            </w:tcMar>
          </w:tcPr>
          <w:p w14:paraId="74DBAA4F" w14:textId="77777777" w:rsidR="00004BC8" w:rsidRPr="00D446B0" w:rsidRDefault="00004BC8" w:rsidP="00D446B0">
            <w:pPr>
              <w:pStyle w:val="a4"/>
              <w:widowControl w:val="0"/>
              <w:spacing w:line="240" w:lineRule="auto"/>
              <w:ind w:firstLine="0"/>
              <w:jc w:val="center"/>
              <w:outlineLvl w:val="9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D446B0">
              <w:rPr>
                <w:rFonts w:ascii="Sylfaen" w:hAnsi="Sylfaen"/>
                <w:color w:val="000000"/>
                <w:sz w:val="20"/>
                <w:szCs w:val="20"/>
              </w:rPr>
              <w:t>Դերի անվանումը</w:t>
            </w:r>
          </w:p>
        </w:tc>
        <w:tc>
          <w:tcPr>
            <w:tcW w:w="2682" w:type="dxa"/>
            <w:shd w:val="clear" w:color="auto" w:fill="auto"/>
            <w:tcMar>
              <w:top w:w="85" w:type="dxa"/>
              <w:bottom w:w="85" w:type="dxa"/>
            </w:tcMar>
          </w:tcPr>
          <w:p w14:paraId="2A218F2A" w14:textId="77777777" w:rsidR="00004BC8" w:rsidRPr="00D446B0" w:rsidRDefault="00004BC8" w:rsidP="00D446B0">
            <w:pPr>
              <w:pStyle w:val="a4"/>
              <w:widowControl w:val="0"/>
              <w:spacing w:line="240" w:lineRule="auto"/>
              <w:ind w:firstLine="0"/>
              <w:jc w:val="center"/>
              <w:outlineLvl w:val="9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D446B0">
              <w:rPr>
                <w:rFonts w:ascii="Sylfaen" w:hAnsi="Sylfaen"/>
                <w:color w:val="000000"/>
                <w:sz w:val="20"/>
                <w:szCs w:val="20"/>
              </w:rPr>
              <w:t>Դերի նկարագրությունը</w:t>
            </w:r>
          </w:p>
        </w:tc>
        <w:tc>
          <w:tcPr>
            <w:tcW w:w="2987" w:type="dxa"/>
            <w:shd w:val="clear" w:color="auto" w:fill="auto"/>
            <w:tcMar>
              <w:top w:w="85" w:type="dxa"/>
              <w:bottom w:w="85" w:type="dxa"/>
            </w:tcMar>
          </w:tcPr>
          <w:p w14:paraId="647DF87A" w14:textId="77777777" w:rsidR="00004BC8" w:rsidRPr="00D446B0" w:rsidRDefault="00004BC8" w:rsidP="00D446B0">
            <w:pPr>
              <w:pStyle w:val="a4"/>
              <w:widowControl w:val="0"/>
              <w:spacing w:line="240" w:lineRule="auto"/>
              <w:ind w:firstLine="0"/>
              <w:jc w:val="center"/>
              <w:outlineLvl w:val="9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D446B0">
              <w:rPr>
                <w:rFonts w:ascii="Sylfaen" w:hAnsi="Sylfaen"/>
                <w:color w:val="000000"/>
                <w:sz w:val="20"/>
                <w:szCs w:val="20"/>
              </w:rPr>
              <w:t>Դերը կատարող մասնակիցը</w:t>
            </w:r>
          </w:p>
        </w:tc>
      </w:tr>
      <w:tr w:rsidR="004F6652" w:rsidRPr="00D446B0" w14:paraId="70CD655A" w14:textId="77777777" w:rsidTr="00AD76E1">
        <w:trPr>
          <w:jc w:val="center"/>
        </w:trPr>
        <w:tc>
          <w:tcPr>
            <w:tcW w:w="989" w:type="dxa"/>
            <w:shd w:val="clear" w:color="auto" w:fill="auto"/>
            <w:tcMar>
              <w:top w:w="85" w:type="dxa"/>
              <w:bottom w:w="85" w:type="dxa"/>
            </w:tcMar>
          </w:tcPr>
          <w:p w14:paraId="04345FA6" w14:textId="77777777" w:rsidR="00004BC8" w:rsidRPr="00D446B0" w:rsidRDefault="00004BC8" w:rsidP="00D446B0">
            <w:pPr>
              <w:pStyle w:val="a4"/>
              <w:widowControl w:val="0"/>
              <w:spacing w:line="240" w:lineRule="auto"/>
              <w:ind w:firstLine="0"/>
              <w:jc w:val="center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698" w:type="dxa"/>
            <w:shd w:val="clear" w:color="auto" w:fill="auto"/>
            <w:tcMar>
              <w:top w:w="85" w:type="dxa"/>
              <w:bottom w:w="85" w:type="dxa"/>
            </w:tcMar>
          </w:tcPr>
          <w:p w14:paraId="68460685" w14:textId="77777777" w:rsidR="00004BC8" w:rsidRPr="00D446B0" w:rsidRDefault="00004BC8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 xml:space="preserve">Ընդհանուր գործընթացին միացող մասնակիցը կատարում է սույն կարգով նախատեսված միացման ընթացակարգերը </w:t>
            </w:r>
          </w:p>
        </w:tc>
        <w:tc>
          <w:tcPr>
            <w:tcW w:w="2682" w:type="dxa"/>
            <w:shd w:val="clear" w:color="auto" w:fill="auto"/>
            <w:tcMar>
              <w:top w:w="85" w:type="dxa"/>
              <w:bottom w:w="85" w:type="dxa"/>
            </w:tcMar>
          </w:tcPr>
          <w:p w14:paraId="61750464" w14:textId="77777777" w:rsidR="00004BC8" w:rsidRPr="00D446B0" w:rsidRDefault="00004BC8" w:rsidP="00D446B0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auto"/>
            <w:tcMar>
              <w:top w:w="85" w:type="dxa"/>
              <w:bottom w:w="85" w:type="dxa"/>
            </w:tcMar>
          </w:tcPr>
          <w:p w14:paraId="613655A1" w14:textId="77777777" w:rsidR="00004BC8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ուղարկող կենտրոնական մաքսային մարմին (P.CP.01.ACT.001), նշանակման կենտրոնական մաքսային մարմին (P.CP.01.ACT.002),</w:t>
            </w:r>
          </w:p>
          <w:p w14:paraId="7C7FF181" w14:textId="77777777" w:rsidR="006279CB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միջանկյալ կենտրոնական մաքսային մարմին</w:t>
            </w:r>
          </w:p>
          <w:p w14:paraId="5360D0E8" w14:textId="77777777" w:rsidR="006279CB" w:rsidRPr="00D446B0" w:rsidRDefault="006279C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(P.CP.01.ACT.003).</w:t>
            </w:r>
          </w:p>
          <w:p w14:paraId="443B359D" w14:textId="77777777" w:rsidR="00AB27CC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նախկինում չպլանավորված մաքսային գործառնություններ կատարող կենտրոնական մաքսային մարմին (P.CP.01.ACT.004).</w:t>
            </w:r>
          </w:p>
          <w:p w14:paraId="2E84A001" w14:textId="77777777" w:rsidR="003C6EBB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 xml:space="preserve">ապրանքների փոխադրման մասին ծանուցվող կենտրոնական մաքսային մարմին </w:t>
            </w:r>
          </w:p>
          <w:p w14:paraId="30FB0348" w14:textId="77777777" w:rsidR="003C6EBB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lastRenderedPageBreak/>
              <w:t>(P.CP.01.ACT.005).</w:t>
            </w:r>
          </w:p>
          <w:p w14:paraId="28B9AE7C" w14:textId="77777777" w:rsidR="003C6EBB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հավաստագրի գրանցման կենտրոնական մաքսային մարմին</w:t>
            </w:r>
          </w:p>
          <w:p w14:paraId="76678FE7" w14:textId="77777777" w:rsidR="003C6EBB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(P.CP.01.ACT.006).</w:t>
            </w:r>
          </w:p>
          <w:p w14:paraId="7E088E58" w14:textId="77777777" w:rsidR="003C6EBB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այլ անդամ պետության միջանկյալ կենտրոնական մաքսային մարմին (P.CP.01.ACT.007).</w:t>
            </w:r>
          </w:p>
          <w:p w14:paraId="2949C8DF" w14:textId="4B0AE2B0" w:rsidR="003C6EBB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 xml:space="preserve">կենտրոնական մաքսային մարմին, որին ենթակա են վճարման մաքսատուրքերը </w:t>
            </w:r>
            <w:r w:rsidR="00344302">
              <w:rPr>
                <w:rFonts w:ascii="Sylfaen" w:hAnsi="Sylfaen"/>
                <w:sz w:val="20"/>
                <w:szCs w:val="20"/>
              </w:rPr>
              <w:t>և</w:t>
            </w:r>
            <w:r w:rsidRPr="00D446B0">
              <w:rPr>
                <w:rFonts w:ascii="Sylfaen" w:hAnsi="Sylfaen"/>
                <w:sz w:val="20"/>
                <w:szCs w:val="20"/>
              </w:rPr>
              <w:t xml:space="preserve"> հարկերը</w:t>
            </w:r>
          </w:p>
          <w:p w14:paraId="0EABD314" w14:textId="77777777" w:rsidR="007750AD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(P.CP.01.ACT.008)</w:t>
            </w:r>
          </w:p>
        </w:tc>
      </w:tr>
      <w:tr w:rsidR="004F6652" w:rsidRPr="00D446B0" w14:paraId="2FBA649B" w14:textId="77777777" w:rsidTr="00AD76E1">
        <w:trPr>
          <w:cantSplit/>
          <w:jc w:val="center"/>
        </w:trPr>
        <w:tc>
          <w:tcPr>
            <w:tcW w:w="989" w:type="dxa"/>
            <w:shd w:val="clear" w:color="auto" w:fill="auto"/>
            <w:tcMar>
              <w:top w:w="85" w:type="dxa"/>
              <w:bottom w:w="85" w:type="dxa"/>
            </w:tcMar>
          </w:tcPr>
          <w:p w14:paraId="12B62BA7" w14:textId="77777777" w:rsidR="00E44DEF" w:rsidRPr="00D446B0" w:rsidRDefault="00E44DEF" w:rsidP="00D446B0">
            <w:pPr>
              <w:pStyle w:val="a4"/>
              <w:widowControl w:val="0"/>
              <w:spacing w:line="240" w:lineRule="auto"/>
              <w:ind w:firstLine="0"/>
              <w:jc w:val="center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</w:p>
        </w:tc>
        <w:tc>
          <w:tcPr>
            <w:tcW w:w="2698" w:type="dxa"/>
            <w:shd w:val="clear" w:color="auto" w:fill="auto"/>
            <w:tcMar>
              <w:top w:w="85" w:type="dxa"/>
              <w:bottom w:w="85" w:type="dxa"/>
            </w:tcMar>
          </w:tcPr>
          <w:p w14:paraId="71B5662E" w14:textId="77777777" w:rsidR="00E44DEF" w:rsidRPr="00D446B0" w:rsidRDefault="003B3A72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Ադմինիստրատոր</w:t>
            </w:r>
          </w:p>
        </w:tc>
        <w:tc>
          <w:tcPr>
            <w:tcW w:w="2682" w:type="dxa"/>
            <w:shd w:val="clear" w:color="auto" w:fill="auto"/>
            <w:tcMar>
              <w:top w:w="85" w:type="dxa"/>
              <w:bottom w:w="85" w:type="dxa"/>
            </w:tcMar>
          </w:tcPr>
          <w:p w14:paraId="571DDB9C" w14:textId="77777777" w:rsidR="00E44DEF" w:rsidRPr="00D446B0" w:rsidRDefault="000C4CC9" w:rsidP="00D446B0">
            <w:pPr>
              <w:widowControl w:val="0"/>
              <w:spacing w:after="120" w:line="240" w:lineRule="auto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համակարգում է սույն կարգով նախատեսված ընթացակարգերի կատարումը</w:t>
            </w:r>
          </w:p>
        </w:tc>
        <w:tc>
          <w:tcPr>
            <w:tcW w:w="2987" w:type="dxa"/>
            <w:shd w:val="clear" w:color="auto" w:fill="auto"/>
            <w:tcMar>
              <w:top w:w="85" w:type="dxa"/>
              <w:bottom w:w="85" w:type="dxa"/>
            </w:tcMar>
          </w:tcPr>
          <w:p w14:paraId="2F7ED4E7" w14:textId="77777777" w:rsidR="00E44DEF" w:rsidRPr="00D446B0" w:rsidRDefault="002D407E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noProof w:val="0"/>
                <w:sz w:val="20"/>
                <w:szCs w:val="20"/>
              </w:rPr>
              <w:t xml:space="preserve">Եվրասիական տնտեսական հանձնաժողով </w:t>
            </w:r>
          </w:p>
        </w:tc>
      </w:tr>
    </w:tbl>
    <w:p w14:paraId="1CB25B1D" w14:textId="77777777" w:rsidR="00D446B0" w:rsidRDefault="00D446B0" w:rsidP="00D446B0">
      <w:pPr>
        <w:pStyle w:val="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/>
          <w:sz w:val="24"/>
          <w:szCs w:val="24"/>
        </w:rPr>
      </w:pPr>
    </w:p>
    <w:p w14:paraId="015E21FC" w14:textId="77777777" w:rsidR="00004BC8" w:rsidRPr="00D446B0" w:rsidRDefault="00004BC8" w:rsidP="00D446B0">
      <w:pPr>
        <w:pStyle w:val="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V.</w:t>
      </w:r>
      <w:r w:rsidR="00D446B0">
        <w:rPr>
          <w:rFonts w:ascii="Sylfaen" w:hAnsi="Sylfaen"/>
          <w:sz w:val="24"/>
          <w:szCs w:val="24"/>
        </w:rPr>
        <w:t xml:space="preserve"> </w:t>
      </w:r>
      <w:r w:rsidRPr="00D446B0">
        <w:rPr>
          <w:rFonts w:ascii="Sylfaen" w:hAnsi="Sylfaen"/>
          <w:sz w:val="24"/>
          <w:szCs w:val="24"/>
        </w:rPr>
        <w:t>Միանալու ընթացակարգի նկարագրությունը</w:t>
      </w:r>
    </w:p>
    <w:p w14:paraId="134A67BD" w14:textId="3146D9E1" w:rsidR="00004BC8" w:rsidRPr="00D446B0" w:rsidRDefault="00004BC8" w:rsidP="00D446B0">
      <w:pPr>
        <w:pStyle w:val="aa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6.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Մինչ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ընդհանուր գործընթացին միանալը ընդհանուր գործընթացին միացող մասնակցի կողմից պետք է կատարվեն ընդհանուր գործընթացի իրագործման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տեղեկատվական փոխգործակցության ապահովման համար անհրաժեշտ՝ ինտեգրված տեղեկատվական համակարգի գործունեության ապահովման ժամանակ կիրառվող փաստաթղթերով սահմանված պահանջները, ինչպես նա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անդամ պետության ազգային սեգմենտի շրջանակներում տեղեկատվական փոխգործակցությունը կանոնակարգող՝ Միության անդամ պետության (այսուհետ՝ անդամ պետություն) օրենսդրության պահանջները:</w:t>
      </w:r>
      <w:r w:rsidR="00D446B0" w:rsidRPr="00D446B0">
        <w:rPr>
          <w:rFonts w:ascii="Sylfaen" w:hAnsi="Sylfaen"/>
          <w:sz w:val="24"/>
          <w:szCs w:val="24"/>
        </w:rPr>
        <w:t xml:space="preserve"> </w:t>
      </w:r>
    </w:p>
    <w:p w14:paraId="287A7110" w14:textId="77777777" w:rsidR="00004BC8" w:rsidRPr="00D446B0" w:rsidRDefault="00004BC8" w:rsidP="00D446B0">
      <w:pPr>
        <w:pStyle w:val="aa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7.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Ընդհանուր գործընթացին մասնակցի միանալու ընթացակարգի կատարումը ներառում է</w:t>
      </w:r>
      <w:r w:rsidR="003A2361" w:rsidRPr="00D446B0">
        <w:rPr>
          <w:rFonts w:ascii="Sylfaen" w:hAnsi="Sylfaen"/>
          <w:sz w:val="24"/>
          <w:szCs w:val="24"/>
        </w:rPr>
        <w:t>՝</w:t>
      </w:r>
    </w:p>
    <w:p w14:paraId="7C504904" w14:textId="6F0121D5" w:rsidR="00004BC8" w:rsidRPr="00D446B0" w:rsidRDefault="00A15733" w:rsidP="00D446B0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D446B0">
        <w:rPr>
          <w:rFonts w:ascii="Sylfaen" w:hAnsi="Sylfaen"/>
          <w:sz w:val="24"/>
        </w:rPr>
        <w:t>ա)</w:t>
      </w:r>
      <w:r w:rsidR="00D446B0">
        <w:rPr>
          <w:rFonts w:ascii="Sylfaen" w:hAnsi="Sylfaen"/>
          <w:sz w:val="24"/>
        </w:rPr>
        <w:tab/>
      </w:r>
      <w:r w:rsidRPr="00D446B0">
        <w:rPr>
          <w:rFonts w:ascii="Sylfaen" w:hAnsi="Sylfaen"/>
          <w:sz w:val="24"/>
        </w:rPr>
        <w:t xml:space="preserve">Եվրասիական տնտեսական հանձնաժողովի (այսուհետ՝ Հանձնաժողով) անդամ պետության կողմից ընդհանուր գործընթացին մասնակցի միանալու </w:t>
      </w:r>
      <w:r w:rsidRPr="00D446B0">
        <w:rPr>
          <w:rFonts w:ascii="Sylfaen" w:hAnsi="Sylfaen"/>
          <w:sz w:val="24"/>
        </w:rPr>
        <w:lastRenderedPageBreak/>
        <w:t xml:space="preserve">մասին տեղեկացնելը (նշելով տեղեկատվական փոխգործակցության ապահովման համար պատասխանատու լիազոր մարմինը </w:t>
      </w:r>
      <w:r w:rsidR="00344302">
        <w:rPr>
          <w:rFonts w:ascii="Sylfaen" w:hAnsi="Sylfaen"/>
          <w:sz w:val="24"/>
        </w:rPr>
        <w:t>և</w:t>
      </w:r>
      <w:r w:rsidRPr="00D446B0">
        <w:rPr>
          <w:rFonts w:ascii="Sylfaen" w:hAnsi="Sylfaen"/>
          <w:sz w:val="24"/>
        </w:rPr>
        <w:t xml:space="preserve"> միացման պլանավորվող ժամկետները, որոնցում հաշվի են առնվում սույն կարգով նախատեսված՝ միացման միջոցառումների կատարման ամենավերջին ժամկետները)՝ </w:t>
      </w:r>
      <w:r w:rsidR="003A2361" w:rsidRPr="00D446B0">
        <w:rPr>
          <w:rFonts w:ascii="Sylfaen" w:hAnsi="Sylfaen"/>
          <w:sz w:val="24"/>
        </w:rPr>
        <w:t>««</w:t>
      </w:r>
      <w:r w:rsidRPr="00D446B0">
        <w:rPr>
          <w:rFonts w:ascii="Sylfaen" w:hAnsi="Sylfaen"/>
          <w:sz w:val="24"/>
        </w:rPr>
        <w:t>«Մաքսային տարանցում» մաքսային ընթացակարգին համապատասխան ապրանքների փոխադրումների վերահսկման ընթացքում Եվրասիական տնտեսական միության անդամ պետությունների մաքսային մարմինների միջ</w:t>
      </w:r>
      <w:r w:rsidR="00344302">
        <w:rPr>
          <w:rFonts w:ascii="Sylfaen" w:hAnsi="Sylfaen"/>
          <w:sz w:val="24"/>
        </w:rPr>
        <w:t>և</w:t>
      </w:r>
      <w:r w:rsidRPr="00D446B0">
        <w:rPr>
          <w:rFonts w:ascii="Sylfaen" w:hAnsi="Sylfaen"/>
          <w:sz w:val="24"/>
        </w:rPr>
        <w:t xml:space="preserve"> էլեկտրոնային փաստաթղթերի </w:t>
      </w:r>
      <w:r w:rsidR="00344302">
        <w:rPr>
          <w:rFonts w:ascii="Sylfaen" w:hAnsi="Sylfaen"/>
          <w:sz w:val="24"/>
        </w:rPr>
        <w:t>և</w:t>
      </w:r>
      <w:r w:rsidRPr="00D446B0">
        <w:rPr>
          <w:rFonts w:ascii="Sylfaen" w:hAnsi="Sylfaen"/>
          <w:sz w:val="24"/>
        </w:rPr>
        <w:t xml:space="preserve"> (կամ) տեղեկությունների փոխանակման ապահովում» ընդհանուր գործընթացի՝ Եվրասիական տնտեսական միության ինտեգրված տեղեկատվական համակարգի միջոցներով իրագործման ժամանակ տեղեկատվական փոխգործակցությունը կանոնակարգող տեխնոլոգիական փաստաթղթերի մասին» </w:t>
      </w:r>
      <w:r w:rsidR="005A3910" w:rsidRPr="00D446B0">
        <w:rPr>
          <w:rFonts w:ascii="Sylfaen" w:hAnsi="Sylfaen"/>
          <w:sz w:val="24"/>
        </w:rPr>
        <w:t xml:space="preserve">Եվրասիական տնտեսական հանձնաժողովի կոլեգիայի 2023 թվականի նոյեմբերի 21-ի </w:t>
      </w:r>
      <w:r w:rsidRPr="00D446B0">
        <w:rPr>
          <w:rFonts w:ascii="Sylfaen" w:hAnsi="Sylfaen"/>
          <w:sz w:val="24"/>
        </w:rPr>
        <w:t>թիվ 162 որոշմամբ (այսուհետ՝ Տեխնոլոգիական փաստաթղթերի հաստատման մասին Հանձնաժողովի կոլեգիայի որոշում) հաստատված տեխնոլոգիական փաստաթղթերի հրապարկման օրվանից 1 ամսվա ընթացքում.</w:t>
      </w:r>
    </w:p>
    <w:p w14:paraId="2F0E0A9D" w14:textId="77777777" w:rsidR="00EE6856" w:rsidRPr="00D446B0" w:rsidRDefault="000C4CC9" w:rsidP="00D446B0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b/>
          <w:sz w:val="24"/>
        </w:rPr>
      </w:pPr>
      <w:r w:rsidRPr="00D446B0">
        <w:rPr>
          <w:rFonts w:ascii="Sylfaen" w:hAnsi="Sylfaen"/>
          <w:sz w:val="24"/>
        </w:rPr>
        <w:t>բ)</w:t>
      </w:r>
      <w:r w:rsidR="00D446B0">
        <w:rPr>
          <w:rFonts w:ascii="Sylfaen" w:hAnsi="Sylfaen"/>
          <w:sz w:val="24"/>
        </w:rPr>
        <w:tab/>
      </w:r>
      <w:r w:rsidRPr="00D446B0">
        <w:rPr>
          <w:rFonts w:ascii="Sylfaen" w:hAnsi="Sylfaen"/>
          <w:sz w:val="24"/>
        </w:rPr>
        <w:t>անհրաժեշտության դեպքում անդամ պետության նորմատիվ իրավական ակտերում տեխնոլոգիական փաստաթղթերի պահանջների կատարման համար անհրաժեշտ փոփոխություններ կատարելը՝ Տեխնոլոգիական փաստաթղթերի հաստատման մասին Հանձնաժողովի կոլեգիայի որոշ</w:t>
      </w:r>
      <w:r w:rsidR="003A2361" w:rsidRPr="00D446B0">
        <w:rPr>
          <w:rFonts w:ascii="Sylfaen" w:hAnsi="Sylfaen"/>
          <w:sz w:val="24"/>
        </w:rPr>
        <w:t>ումն</w:t>
      </w:r>
      <w:r w:rsidRPr="00D446B0">
        <w:rPr>
          <w:rFonts w:ascii="Sylfaen" w:hAnsi="Sylfaen"/>
          <w:sz w:val="24"/>
        </w:rPr>
        <w:t xml:space="preserve"> ուժի մեջ մտնելու օրվանից 2 ամսվա ընթացքում. </w:t>
      </w:r>
    </w:p>
    <w:p w14:paraId="48B9F756" w14:textId="77777777" w:rsidR="00EE6856" w:rsidRPr="00D446B0" w:rsidRDefault="000C4CC9" w:rsidP="00D446B0">
      <w:pPr>
        <w:pStyle w:val="aa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գ)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ընդհանուր գործընթացին միացող մասնակցի տեղեկատվական համակարգի մշակումը (լրամշակումը)՝ Տեխնոլոգիական փաստաթղթերի հաստատման մասին Հանձնաժողովի կոլեգիայի որոշ</w:t>
      </w:r>
      <w:r w:rsidR="003A2361" w:rsidRPr="00D446B0">
        <w:rPr>
          <w:rFonts w:ascii="Sylfaen" w:hAnsi="Sylfaen"/>
          <w:sz w:val="24"/>
          <w:szCs w:val="24"/>
        </w:rPr>
        <w:t>ումն</w:t>
      </w:r>
      <w:r w:rsidRPr="00D446B0">
        <w:rPr>
          <w:rFonts w:ascii="Sylfaen" w:hAnsi="Sylfaen"/>
          <w:sz w:val="24"/>
          <w:szCs w:val="24"/>
        </w:rPr>
        <w:t xml:space="preserve"> ուժի մեջ մտնելու օրվանից 5 ամսվա ընթացքում.</w:t>
      </w:r>
    </w:p>
    <w:p w14:paraId="215270F7" w14:textId="77777777" w:rsidR="00EE6856" w:rsidRPr="00D446B0" w:rsidRDefault="000C4CC9" w:rsidP="00D446B0">
      <w:pPr>
        <w:pStyle w:val="aa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դ)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 xml:space="preserve">ընդհանուր գործընթացին միացող մասնակցի տեղեկատվական համակարգի միացումն ազգային սեգմենտին, եթե այդ միացումը նախկինում չի իրականացվել՝ Տեխնոլոգիական փաստաթղթերի հաստատման մասին </w:t>
      </w:r>
      <w:r w:rsidRPr="00D446B0">
        <w:rPr>
          <w:rFonts w:ascii="Sylfaen" w:hAnsi="Sylfaen"/>
          <w:sz w:val="24"/>
          <w:szCs w:val="24"/>
        </w:rPr>
        <w:lastRenderedPageBreak/>
        <w:t>Հանձնաժողովի կոլեգիայի որոշ</w:t>
      </w:r>
      <w:r w:rsidR="00632F28" w:rsidRPr="00D446B0">
        <w:rPr>
          <w:rFonts w:ascii="Sylfaen" w:hAnsi="Sylfaen"/>
          <w:sz w:val="24"/>
          <w:szCs w:val="24"/>
        </w:rPr>
        <w:t>ումն</w:t>
      </w:r>
      <w:r w:rsidRPr="00D446B0">
        <w:rPr>
          <w:rFonts w:ascii="Sylfaen" w:hAnsi="Sylfaen"/>
          <w:sz w:val="24"/>
          <w:szCs w:val="24"/>
        </w:rPr>
        <w:t xml:space="preserve"> ուժի մեջ մտնելու օրվանից 5 ամսվա ընթացքում. </w:t>
      </w:r>
    </w:p>
    <w:p w14:paraId="72C47B95" w14:textId="3D749D78" w:rsidR="009375E9" w:rsidRPr="00D446B0" w:rsidRDefault="00EE6856" w:rsidP="00D446B0">
      <w:pPr>
        <w:pStyle w:val="aa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ե)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ընդհանուր գործընթացին միացող մասնակցի կողմից ադմինիստրատորի տարած</w:t>
      </w:r>
      <w:r w:rsidR="00632F28" w:rsidRPr="00D446B0">
        <w:rPr>
          <w:rFonts w:ascii="Sylfaen" w:hAnsi="Sylfaen"/>
          <w:sz w:val="24"/>
          <w:szCs w:val="24"/>
        </w:rPr>
        <w:t>ած</w:t>
      </w:r>
      <w:r w:rsidRPr="00D446B0">
        <w:rPr>
          <w:rFonts w:ascii="Sylfaen" w:hAnsi="Sylfaen"/>
          <w:sz w:val="24"/>
          <w:szCs w:val="24"/>
        </w:rPr>
        <w:t xml:space="preserve"> տեղեկատուների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դասակարգիչների ստացումը՝ Տեխնոլոգիական փաստաթղթերի հաստատման մասին Հանձնաժողովի կոլեգիայի որոշ</w:t>
      </w:r>
      <w:r w:rsidR="00632F28" w:rsidRPr="00D446B0">
        <w:rPr>
          <w:rFonts w:ascii="Sylfaen" w:hAnsi="Sylfaen"/>
          <w:sz w:val="24"/>
          <w:szCs w:val="24"/>
        </w:rPr>
        <w:t>ումն</w:t>
      </w:r>
      <w:r w:rsidRPr="00D446B0">
        <w:rPr>
          <w:rFonts w:ascii="Sylfaen" w:hAnsi="Sylfaen"/>
          <w:sz w:val="24"/>
          <w:szCs w:val="24"/>
        </w:rPr>
        <w:t xml:space="preserve"> ուժի մեջ մտնելու օրվանից 3 ամսվա ընթացքում.</w:t>
      </w:r>
    </w:p>
    <w:p w14:paraId="76C60ABF" w14:textId="6D5EE160" w:rsidR="00544AAB" w:rsidRPr="00D446B0" w:rsidRDefault="00E06A5B" w:rsidP="00D446B0">
      <w:pPr>
        <w:pStyle w:val="aa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զ)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 xml:space="preserve">ընդհանուր գործընթացին միացող մասնակցի տեղեկատվական համակարգի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անդամ պետության ազգային սեգմենտի օպերատորի տեղեկատվական համակարգի միջ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տեղեկատվական փոխգործակցության փորձարկումը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Հանձնաժողովին փորձարկման այդ տեսակի հաջող անցկացման մասին տեղեկացնելը՝ Տեխնոլոգիական փաստաթղթերի հաստատման մասին Հանձնաժողովի կոլեգիայի որոշ</w:t>
      </w:r>
      <w:r w:rsidR="00632F28" w:rsidRPr="00D446B0">
        <w:rPr>
          <w:rFonts w:ascii="Sylfaen" w:hAnsi="Sylfaen"/>
          <w:sz w:val="24"/>
          <w:szCs w:val="24"/>
        </w:rPr>
        <w:t>ումն</w:t>
      </w:r>
      <w:r w:rsidRPr="00D446B0">
        <w:rPr>
          <w:rFonts w:ascii="Sylfaen" w:hAnsi="Sylfaen"/>
          <w:sz w:val="24"/>
          <w:szCs w:val="24"/>
        </w:rPr>
        <w:t xml:space="preserve"> ուժի մեջ մտնելու օրվանից 6 ամսվա ընթացքում. </w:t>
      </w:r>
    </w:p>
    <w:p w14:paraId="269738E6" w14:textId="4DC9829A" w:rsidR="00EE6856" w:rsidRPr="00D446B0" w:rsidRDefault="00E06A5B" w:rsidP="00D446B0">
      <w:pPr>
        <w:pStyle w:val="aa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է)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ընդհանուր գործընթացին միացող մասնակիցների տեղեկատվական համակարգերի միջ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տեղեկատվական փոխգործակցության՝ տեխնոլոգիական փաստաթղթերի պահանջներին համապատասխանության մասով փորձարկումը՝ Տեխնոլոգիական փաստաթղթերի հաստատման մասին Հանձնաժողովի կոլեգայի որոշ</w:t>
      </w:r>
      <w:r w:rsidR="00632F28" w:rsidRPr="00D446B0">
        <w:rPr>
          <w:rFonts w:ascii="Sylfaen" w:hAnsi="Sylfaen"/>
          <w:sz w:val="24"/>
          <w:szCs w:val="24"/>
        </w:rPr>
        <w:t>ումն</w:t>
      </w:r>
      <w:r w:rsidRPr="00D446B0">
        <w:rPr>
          <w:rFonts w:ascii="Sylfaen" w:hAnsi="Sylfaen"/>
          <w:sz w:val="24"/>
          <w:szCs w:val="24"/>
        </w:rPr>
        <w:t xml:space="preserve"> ուժի մեջ մտնելու օրվանից 9 ամսվա ընթացքում: </w:t>
      </w:r>
    </w:p>
    <w:p w14:paraId="126E9E9B" w14:textId="376D2091" w:rsidR="00004BC8" w:rsidRPr="00D446B0" w:rsidRDefault="005B5A0F" w:rsidP="00D446B0">
      <w:pPr>
        <w:pStyle w:val="aa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8.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 xml:space="preserve">Սույն կարգի 6-րդ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7-րդ կետերին համապատասխան՝ պահանջների պահպանման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գործողությունների հաջող կատարման պայմանով ընդհանուր գործընթացի մասնակիցների միջ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տեղեկությունների հետագա փոխանակումն իրականացվում է ընդհանուր գործընթաց</w:t>
      </w:r>
      <w:r w:rsidR="00632F28" w:rsidRPr="00D446B0">
        <w:rPr>
          <w:rFonts w:ascii="Sylfaen" w:hAnsi="Sylfaen"/>
          <w:sz w:val="24"/>
          <w:szCs w:val="24"/>
        </w:rPr>
        <w:t>ի</w:t>
      </w:r>
      <w:r w:rsidRPr="00D446B0">
        <w:rPr>
          <w:rFonts w:ascii="Sylfaen" w:hAnsi="Sylfaen"/>
          <w:sz w:val="24"/>
          <w:szCs w:val="24"/>
        </w:rPr>
        <w:t xml:space="preserve"> իրագործման ժամանակ տեղեկատվական փոխգործակցությունը կանոնակարգող տեխնոլոգիական փաստաթղթերին համապատասխան: </w:t>
      </w:r>
    </w:p>
    <w:p w14:paraId="38C76BFD" w14:textId="0D031079" w:rsidR="006E324A" w:rsidRPr="00D446B0" w:rsidRDefault="005B5A0F" w:rsidP="00D446B0">
      <w:pPr>
        <w:pStyle w:val="aa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9.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 xml:space="preserve">Հանձնաժողովն իրականացնում է տեղեկատվական փոխգործակցության փորձարկման անցկացման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ընդհանուր գործընթացի գործարկման աշխատանքների պլանավորում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համակարգում, ինչպես նա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անդամ պետության լիազոր մարմիններ հարցում է կատարում ընդհանուր </w:t>
      </w:r>
      <w:r w:rsidRPr="00D446B0">
        <w:rPr>
          <w:rFonts w:ascii="Sylfaen" w:hAnsi="Sylfaen"/>
          <w:sz w:val="24"/>
          <w:szCs w:val="24"/>
        </w:rPr>
        <w:lastRenderedPageBreak/>
        <w:t>գործընթացին միացող մասնակիցների տեղեկատվական համակարգերի միջ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տեղեկատվական փոխգործակցության՝ տեխնոլոգիական փաստաթղթերի պահանջներին համապատասխանության մասով փորձարկմանը պատրաստականության ժամկետների մասին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փոխանցում ստացված տեղեկատվությունը մյուս անդամ պետությունների լիազոր մարմիններին:</w:t>
      </w:r>
      <w:r w:rsidR="00D446B0" w:rsidRPr="00D446B0">
        <w:rPr>
          <w:rFonts w:ascii="Sylfaen" w:hAnsi="Sylfaen"/>
          <w:sz w:val="24"/>
          <w:szCs w:val="24"/>
        </w:rPr>
        <w:t xml:space="preserve"> </w:t>
      </w:r>
      <w:r w:rsidRPr="00D446B0">
        <w:rPr>
          <w:rFonts w:ascii="Sylfaen" w:hAnsi="Sylfaen"/>
          <w:sz w:val="24"/>
          <w:szCs w:val="24"/>
        </w:rPr>
        <w:t xml:space="preserve">Տեղեկատվական փոխգործակցության փորձարկման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ընդհանուր գործընթացի գործարկման աշխատանքների կազմակերպման նպատակով Հանձնաժողովը Տեխնոլոգիական փաստաթղթերի հաստատման մասին Հանձնաժողովի կոլեգիայի </w:t>
      </w:r>
      <w:r w:rsidRPr="00AD76E1">
        <w:rPr>
          <w:rFonts w:ascii="Sylfaen" w:hAnsi="Sylfaen"/>
          <w:sz w:val="24"/>
          <w:szCs w:val="24"/>
        </w:rPr>
        <w:t>որոշ</w:t>
      </w:r>
      <w:r w:rsidR="00632F28" w:rsidRPr="00AD76E1">
        <w:rPr>
          <w:rFonts w:ascii="Sylfaen" w:hAnsi="Sylfaen"/>
          <w:sz w:val="24"/>
          <w:szCs w:val="24"/>
        </w:rPr>
        <w:t>ումն</w:t>
      </w:r>
      <w:r w:rsidRPr="00AD76E1">
        <w:rPr>
          <w:rFonts w:ascii="Sylfaen" w:hAnsi="Sylfaen"/>
          <w:sz w:val="24"/>
          <w:szCs w:val="24"/>
        </w:rPr>
        <w:t xml:space="preserve"> ուժի մեջ մտնելու օրվանից 3 ամսվա ընթացքում ապահովում է փորձնական օրինակով փորձարկումների ծրագրի </w:t>
      </w:r>
      <w:r w:rsidR="00344302">
        <w:rPr>
          <w:rFonts w:ascii="Sylfaen" w:hAnsi="Sylfaen"/>
          <w:sz w:val="24"/>
          <w:szCs w:val="24"/>
        </w:rPr>
        <w:t>և</w:t>
      </w:r>
      <w:r w:rsidRPr="00AD76E1">
        <w:rPr>
          <w:rFonts w:ascii="Sylfaen" w:hAnsi="Sylfaen"/>
          <w:sz w:val="24"/>
          <w:szCs w:val="24"/>
        </w:rPr>
        <w:t xml:space="preserve"> մեթոդակարգի պատրաստումը </w:t>
      </w:r>
      <w:r w:rsidR="00344302">
        <w:rPr>
          <w:rFonts w:ascii="Sylfaen" w:hAnsi="Sylfaen"/>
          <w:sz w:val="24"/>
          <w:szCs w:val="24"/>
        </w:rPr>
        <w:t>և</w:t>
      </w:r>
      <w:r w:rsidRPr="00AD76E1">
        <w:rPr>
          <w:rFonts w:ascii="Sylfaen" w:hAnsi="Sylfaen"/>
          <w:sz w:val="24"/>
          <w:szCs w:val="24"/>
        </w:rPr>
        <w:t xml:space="preserve"> դրա ուղարկում</w:t>
      </w:r>
      <w:r w:rsidR="00632F28" w:rsidRPr="00AD76E1">
        <w:rPr>
          <w:rFonts w:ascii="Sylfaen" w:hAnsi="Sylfaen"/>
          <w:sz w:val="24"/>
          <w:szCs w:val="24"/>
        </w:rPr>
        <w:t>ն</w:t>
      </w:r>
      <w:r w:rsidRPr="00AD76E1">
        <w:rPr>
          <w:rFonts w:ascii="Sylfaen" w:hAnsi="Sylfaen"/>
          <w:sz w:val="24"/>
          <w:szCs w:val="24"/>
        </w:rPr>
        <w:t xml:space="preserve"> ընդհանուր գործընթացի մասնակիցներին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անդամ պետությունների ազգային սեգմենտների օպերատորներին:</w:t>
      </w:r>
      <w:r w:rsidR="00D446B0" w:rsidRPr="00D446B0">
        <w:rPr>
          <w:rFonts w:ascii="Sylfaen" w:hAnsi="Sylfaen"/>
          <w:sz w:val="24"/>
          <w:szCs w:val="24"/>
        </w:rPr>
        <w:t xml:space="preserve"> </w:t>
      </w:r>
    </w:p>
    <w:p w14:paraId="55868DEB" w14:textId="77777777" w:rsidR="00544AAB" w:rsidRPr="00D446B0" w:rsidRDefault="00FA1D8D" w:rsidP="00D446B0">
      <w:pPr>
        <w:pStyle w:val="aa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10.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Ընդհանուր գործընթացին բոլոր մասնակիցների միաժամանակյա միացումն ապահովելու նպատակով անդամ պետություններն ապահովում են ընդհանուր գործընթացի գործարկման ընթացակարգի կատարումը՝ Տեխնոլոգիական փաստաթղթերի հաստատման մասին Հանձնաժողովի կոլեգիայի որոշ</w:t>
      </w:r>
      <w:r w:rsidR="00632F28" w:rsidRPr="00D446B0">
        <w:rPr>
          <w:rFonts w:ascii="Sylfaen" w:hAnsi="Sylfaen"/>
          <w:sz w:val="24"/>
          <w:szCs w:val="24"/>
        </w:rPr>
        <w:t>ումն</w:t>
      </w:r>
      <w:r w:rsidRPr="00D446B0">
        <w:rPr>
          <w:rFonts w:ascii="Sylfaen" w:hAnsi="Sylfaen"/>
          <w:sz w:val="24"/>
          <w:szCs w:val="24"/>
        </w:rPr>
        <w:t xml:space="preserve"> ուժի մեջ մտնելու օրվանից 9 ամիսը չգերազանցող ժամկետում: </w:t>
      </w:r>
    </w:p>
    <w:p w14:paraId="25FF5560" w14:textId="77777777" w:rsidR="00D446B0" w:rsidRDefault="00D446B0" w:rsidP="00D446B0">
      <w:pPr>
        <w:pStyle w:val="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/>
          <w:sz w:val="24"/>
          <w:szCs w:val="24"/>
        </w:rPr>
      </w:pPr>
    </w:p>
    <w:p w14:paraId="4F7B1805" w14:textId="77777777" w:rsidR="00FA1D8D" w:rsidRPr="00D446B0" w:rsidRDefault="009375E9" w:rsidP="00D446B0">
      <w:pPr>
        <w:pStyle w:val="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VI.</w:t>
      </w:r>
      <w:r w:rsidR="00D446B0">
        <w:rPr>
          <w:rFonts w:ascii="Sylfaen" w:hAnsi="Sylfaen"/>
          <w:sz w:val="24"/>
          <w:szCs w:val="24"/>
        </w:rPr>
        <w:t xml:space="preserve"> </w:t>
      </w:r>
      <w:r w:rsidRPr="00D446B0">
        <w:rPr>
          <w:rFonts w:ascii="Sylfaen" w:hAnsi="Sylfaen"/>
          <w:sz w:val="24"/>
          <w:szCs w:val="24"/>
        </w:rPr>
        <w:t>Անցումային դրույթներ</w:t>
      </w:r>
    </w:p>
    <w:p w14:paraId="405550FB" w14:textId="77777777" w:rsidR="001B0937" w:rsidRPr="00D446B0" w:rsidRDefault="009375E9" w:rsidP="00D446B0">
      <w:pPr>
        <w:pStyle w:val="aa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11.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Ընդհանուր գործընթացը գործարկելուց հետո ընդհանուր գործընթացի շրջանակներում տեղեկատվական փոխգործակցությունն իրականացվում է Միության ինտեգրված տեղեկատվական համակարգի օգտագործմամբ՝ ընդհանուր գործընթացի իրագործման ժամանակ տեղեկատվական փոխգործակցությունը կանոնակարգող տեղեկատվական փաստաթղթերին համապատասխան՝ հաշվի առնելով սույն կարգի 12-րդ կետում սահմանված առանձնահատկությունները:</w:t>
      </w:r>
      <w:r w:rsidR="00D446B0" w:rsidRPr="00D446B0">
        <w:rPr>
          <w:rFonts w:ascii="Sylfaen" w:hAnsi="Sylfaen"/>
          <w:sz w:val="24"/>
          <w:szCs w:val="24"/>
        </w:rPr>
        <w:t xml:space="preserve"> </w:t>
      </w:r>
    </w:p>
    <w:p w14:paraId="24108CDE" w14:textId="4AC0F3D7" w:rsidR="00D01BCD" w:rsidRPr="00D446B0" w:rsidRDefault="001B0937" w:rsidP="00D446B0">
      <w:pPr>
        <w:pStyle w:val="aa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12.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 xml:space="preserve">«Մաքսային տարանցում» մաքսային ընթացակարգերի մասով, որոնց համապատասխան ապրանքների բացթողման մասին տեղեկություններն ուղարկվել են նշանակման կենտրոնական մաքսային մարմին Մաքսային </w:t>
      </w:r>
      <w:r w:rsidRPr="00D446B0">
        <w:rPr>
          <w:rFonts w:ascii="Sylfaen" w:hAnsi="Sylfaen"/>
          <w:sz w:val="24"/>
          <w:szCs w:val="24"/>
        </w:rPr>
        <w:lastRenderedPageBreak/>
        <w:t>միության անդամ պետությունների մաքսային ծառայությունների միացյալ կոլեգիայի</w:t>
      </w:r>
      <w:r w:rsidR="00632F28" w:rsidRPr="00D446B0">
        <w:rPr>
          <w:rFonts w:ascii="Sylfaen" w:hAnsi="Sylfaen"/>
          <w:sz w:val="24"/>
          <w:szCs w:val="24"/>
        </w:rPr>
        <w:t>՝</w:t>
      </w:r>
      <w:r w:rsidRPr="00D446B0">
        <w:rPr>
          <w:rFonts w:ascii="Sylfaen" w:hAnsi="Sylfaen"/>
          <w:sz w:val="24"/>
          <w:szCs w:val="24"/>
        </w:rPr>
        <w:t xml:space="preserve"> 2015 թվականի հունիսի 4-ի թիվ 15/6 որոշմամբ հաստատված՝ «Մաքսային տարանցում» մաքսային ընթացակարգին համապատասխան ապրանքների փոխադրումների վերահսկման ժամանակ Մաքսային միության անդամ պետությունների մաքսային մարմինների տեղեկատվական փոխգործակցության տեխնոլոգիայի (այսուհետ՝ Տեխնոլոգիա) պահանջներին համապատասխան,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որոնց գործողություն</w:t>
      </w:r>
      <w:r w:rsidR="00D56857" w:rsidRPr="00D446B0">
        <w:rPr>
          <w:rFonts w:ascii="Sylfaen" w:hAnsi="Sylfaen"/>
          <w:sz w:val="24"/>
          <w:szCs w:val="24"/>
        </w:rPr>
        <w:t>ն</w:t>
      </w:r>
      <w:r w:rsidRPr="00D446B0">
        <w:rPr>
          <w:rFonts w:ascii="Sylfaen" w:hAnsi="Sylfaen"/>
          <w:sz w:val="24"/>
          <w:szCs w:val="24"/>
        </w:rPr>
        <w:t xml:space="preserve"> ընդհանուր գործընթացը գործարկ</w:t>
      </w:r>
      <w:r w:rsidR="00D56857" w:rsidRPr="00D446B0">
        <w:rPr>
          <w:rFonts w:ascii="Sylfaen" w:hAnsi="Sylfaen"/>
          <w:sz w:val="24"/>
          <w:szCs w:val="24"/>
        </w:rPr>
        <w:t>ելու</w:t>
      </w:r>
      <w:r w:rsidRPr="00D446B0">
        <w:rPr>
          <w:rFonts w:ascii="Sylfaen" w:hAnsi="Sylfaen"/>
          <w:sz w:val="24"/>
          <w:szCs w:val="24"/>
        </w:rPr>
        <w:t xml:space="preserve"> օրվա դրությամբ ավարտված չէ (դադարեցված չէ), տեղեկատվական փոխգործակցությունն իրականացվում է նշված Տեխնոլոգիայի իրագործման նպատակով տեղեկատվական փոխգործակցության համար կենտրոնական մաքսային մարմինների կողմից կիրառվող ծրագրային </w:t>
      </w:r>
      <w:r w:rsidR="00344302">
        <w:rPr>
          <w:rFonts w:ascii="Sylfaen" w:hAnsi="Sylfaen"/>
          <w:sz w:val="24"/>
          <w:szCs w:val="24"/>
        </w:rPr>
        <w:t>և</w:t>
      </w:r>
      <w:r w:rsidRPr="00D446B0">
        <w:rPr>
          <w:rFonts w:ascii="Sylfaen" w:hAnsi="Sylfaen"/>
          <w:sz w:val="24"/>
          <w:szCs w:val="24"/>
        </w:rPr>
        <w:t xml:space="preserve"> տեխնիկական լուծումների օգտագործմամբ:</w:t>
      </w:r>
      <w:r w:rsidR="00D446B0" w:rsidRPr="00D446B0">
        <w:rPr>
          <w:rFonts w:ascii="Sylfaen" w:hAnsi="Sylfaen"/>
          <w:sz w:val="24"/>
          <w:szCs w:val="24"/>
        </w:rPr>
        <w:t xml:space="preserve"> </w:t>
      </w:r>
    </w:p>
    <w:p w14:paraId="29F8F8C4" w14:textId="749DFC6A" w:rsidR="004C47B1" w:rsidRPr="00D446B0" w:rsidRDefault="004C47B1" w:rsidP="00D446B0">
      <w:pPr>
        <w:pStyle w:val="Default"/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eastAsia="Calibri" w:hAnsi="Sylfaen"/>
          <w:color w:val="auto"/>
        </w:rPr>
      </w:pPr>
      <w:r w:rsidRPr="00D446B0">
        <w:rPr>
          <w:rFonts w:ascii="Sylfaen" w:hAnsi="Sylfaen"/>
          <w:color w:val="auto"/>
        </w:rPr>
        <w:t>Ընդհանուր գործընթացի գործարկումից հետո տեղեկատվական փոխգործակցության անընդհատության ապահովման նպատակով ընդհանուր գործընթացի մասնակիցների միջ</w:t>
      </w:r>
      <w:r w:rsidR="00344302">
        <w:rPr>
          <w:rFonts w:ascii="Sylfaen" w:hAnsi="Sylfaen"/>
          <w:color w:val="auto"/>
        </w:rPr>
        <w:t>և</w:t>
      </w:r>
      <w:r w:rsidRPr="00D446B0">
        <w:rPr>
          <w:rFonts w:ascii="Sylfaen" w:hAnsi="Sylfaen"/>
          <w:color w:val="auto"/>
        </w:rPr>
        <w:t xml:space="preserve"> այդ տեղեկատվական փոխգործակցությանը խոչընդոտող արտակարգ իրավիճակների առաջացման դեպքում ընդհանուր գործընթացի իրագործման ժամանակ տեղեկատվական փոխգործակցությունը կանոնակարգող տեխնոլոգիական փաստաթղթերին համապատասխան փոխգործակցության մասնակիցների </w:t>
      </w:r>
      <w:r w:rsidR="00344302">
        <w:rPr>
          <w:rFonts w:ascii="Sylfaen" w:hAnsi="Sylfaen"/>
          <w:color w:val="auto"/>
        </w:rPr>
        <w:t>և</w:t>
      </w:r>
      <w:r w:rsidRPr="00D446B0">
        <w:rPr>
          <w:rFonts w:ascii="Sylfaen" w:hAnsi="Sylfaen"/>
          <w:color w:val="auto"/>
        </w:rPr>
        <w:t xml:space="preserve"> Հանձնաժողովի կողմից ապահովվում է </w:t>
      </w:r>
      <w:r w:rsidR="00D56857" w:rsidRPr="00D446B0">
        <w:rPr>
          <w:rFonts w:ascii="Sylfaen" w:hAnsi="Sylfaen"/>
          <w:color w:val="auto"/>
        </w:rPr>
        <w:t xml:space="preserve">տեխնիկական աջակցություն </w:t>
      </w:r>
      <w:r w:rsidRPr="00D446B0">
        <w:rPr>
          <w:rFonts w:ascii="Sylfaen" w:hAnsi="Sylfaen"/>
          <w:color w:val="auto"/>
        </w:rPr>
        <w:t xml:space="preserve">Տեխնոլոգիայի շրջանակներում տեղեկատվական փոխգործակցության համար կենտրոնական մաքսային մարմինների կողմից կիրառվող ծրագրային </w:t>
      </w:r>
      <w:r w:rsidR="00344302">
        <w:rPr>
          <w:rFonts w:ascii="Sylfaen" w:hAnsi="Sylfaen"/>
          <w:color w:val="auto"/>
        </w:rPr>
        <w:t>և</w:t>
      </w:r>
      <w:r w:rsidRPr="00D446B0">
        <w:rPr>
          <w:rFonts w:ascii="Sylfaen" w:hAnsi="Sylfaen"/>
          <w:color w:val="auto"/>
        </w:rPr>
        <w:t xml:space="preserve"> տեխնիկական լուծումների </w:t>
      </w:r>
      <w:r w:rsidRPr="00AD76E1">
        <w:rPr>
          <w:rFonts w:ascii="Sylfaen" w:hAnsi="Sylfaen"/>
          <w:color w:val="auto"/>
        </w:rPr>
        <w:t>գործառմանը:</w:t>
      </w:r>
      <w:r w:rsidR="00D446B0" w:rsidRPr="00D446B0">
        <w:rPr>
          <w:rFonts w:ascii="Sylfaen" w:hAnsi="Sylfaen"/>
          <w:color w:val="auto"/>
        </w:rPr>
        <w:t xml:space="preserve"> </w:t>
      </w:r>
      <w:r w:rsidRPr="00D446B0">
        <w:rPr>
          <w:rFonts w:ascii="Sylfaen" w:hAnsi="Sylfaen"/>
          <w:color w:val="auto"/>
        </w:rPr>
        <w:t>Այդ աջակցության ժամկետը կազմում է ընդհանուր գործընթացի գործարկման օրվանից սկսած</w:t>
      </w:r>
      <w:r w:rsidR="00D56857" w:rsidRPr="00D446B0">
        <w:rPr>
          <w:rFonts w:ascii="Sylfaen" w:hAnsi="Sylfaen"/>
          <w:color w:val="auto"/>
        </w:rPr>
        <w:t>՝</w:t>
      </w:r>
      <w:r w:rsidRPr="00D446B0">
        <w:rPr>
          <w:rFonts w:ascii="Sylfaen" w:hAnsi="Sylfaen"/>
          <w:color w:val="auto"/>
        </w:rPr>
        <w:t xml:space="preserve"> 9 ամիս:</w:t>
      </w:r>
    </w:p>
    <w:p w14:paraId="4F6C420E" w14:textId="7D9C0256" w:rsidR="004C47B1" w:rsidRDefault="004C47B1" w:rsidP="00D446B0">
      <w:pPr>
        <w:pStyle w:val="Default"/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color w:val="auto"/>
        </w:rPr>
      </w:pPr>
      <w:r w:rsidRPr="00D446B0">
        <w:rPr>
          <w:rFonts w:ascii="Sylfaen" w:hAnsi="Sylfaen"/>
          <w:color w:val="auto"/>
        </w:rPr>
        <w:t xml:space="preserve">Տեխնոլոգիայի շրջանակներում տեղեկատվական փոխգործակցության համար կենտրոնական մաքսային մարմինների կողմից կիրառվող ծրագրային </w:t>
      </w:r>
      <w:r w:rsidR="00344302">
        <w:rPr>
          <w:rFonts w:ascii="Sylfaen" w:hAnsi="Sylfaen"/>
          <w:color w:val="auto"/>
        </w:rPr>
        <w:t>և</w:t>
      </w:r>
      <w:r w:rsidRPr="00D446B0">
        <w:rPr>
          <w:rFonts w:ascii="Sylfaen" w:hAnsi="Sylfaen"/>
          <w:color w:val="auto"/>
        </w:rPr>
        <w:t xml:space="preserve"> տեխնիկական լուծումների գործառմանը տեխնիկական աջակցության ժամկետի ընթացքում Տեխնոլոգիային համապատասխան տեղեկատվական փոխգործակցությանը ժամանակավոր անցումը կարող է իրականացվել երկու </w:t>
      </w:r>
      <w:r w:rsidR="00344302">
        <w:rPr>
          <w:rFonts w:ascii="Sylfaen" w:hAnsi="Sylfaen"/>
          <w:color w:val="auto"/>
        </w:rPr>
        <w:t>և</w:t>
      </w:r>
      <w:r w:rsidRPr="00D446B0">
        <w:rPr>
          <w:rFonts w:ascii="Sylfaen" w:hAnsi="Sylfaen"/>
          <w:color w:val="auto"/>
        </w:rPr>
        <w:t xml:space="preserve"> </w:t>
      </w:r>
      <w:r w:rsidRPr="00D446B0">
        <w:rPr>
          <w:rFonts w:ascii="Sylfaen" w:hAnsi="Sylfaen"/>
          <w:color w:val="auto"/>
        </w:rPr>
        <w:lastRenderedPageBreak/>
        <w:t>ավելի անդամ պետությունների կենտրոնական մաքսային մարմինների պայմանավորվածության հիման վրա, որոնցից մեկի մոտ առաջացել է արտակարգ իրավիճակ, որի վերացման համար երկար ժամանակ է պահանջվում:</w:t>
      </w:r>
    </w:p>
    <w:p w14:paraId="072EFE89" w14:textId="77777777" w:rsidR="00AD76E1" w:rsidRDefault="00AD76E1" w:rsidP="00D446B0">
      <w:pPr>
        <w:pStyle w:val="Default"/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color w:val="auto"/>
        </w:rPr>
      </w:pPr>
    </w:p>
    <w:p w14:paraId="30E79361" w14:textId="77777777" w:rsidR="00AD76E1" w:rsidRPr="00D446B0" w:rsidRDefault="00AD76E1" w:rsidP="00AD76E1">
      <w:pPr>
        <w:pStyle w:val="Default"/>
        <w:widowControl w:val="0"/>
        <w:tabs>
          <w:tab w:val="left" w:pos="1134"/>
        </w:tabs>
        <w:spacing w:after="160" w:line="360" w:lineRule="auto"/>
        <w:ind w:firstLine="567"/>
        <w:jc w:val="center"/>
        <w:rPr>
          <w:rFonts w:ascii="Sylfaen" w:eastAsia="Calibri" w:hAnsi="Sylfaen"/>
          <w:color w:val="auto"/>
        </w:rPr>
      </w:pPr>
      <w:r>
        <w:rPr>
          <w:rFonts w:ascii="Sylfaen" w:hAnsi="Sylfaen"/>
          <w:color w:val="auto"/>
        </w:rPr>
        <w:t>———————</w:t>
      </w:r>
    </w:p>
    <w:sectPr w:rsidR="00AD76E1" w:rsidRPr="00D446B0" w:rsidSect="00D44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FB36" w14:textId="77777777" w:rsidR="00244452" w:rsidRDefault="00244452" w:rsidP="007B29FD">
      <w:pPr>
        <w:spacing w:after="0" w:line="240" w:lineRule="auto"/>
      </w:pPr>
      <w:r>
        <w:separator/>
      </w:r>
    </w:p>
  </w:endnote>
  <w:endnote w:type="continuationSeparator" w:id="0">
    <w:p w14:paraId="707DEEBC" w14:textId="77777777" w:rsidR="00244452" w:rsidRDefault="00244452" w:rsidP="007B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5851" w14:textId="77777777" w:rsidR="00AD76E1" w:rsidRDefault="00AD7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7547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634483C7" w14:textId="77777777" w:rsidR="00AD76E1" w:rsidRPr="00AD76E1" w:rsidRDefault="002427AC" w:rsidP="00AD76E1">
        <w:pPr>
          <w:pStyle w:val="Footer"/>
          <w:jc w:val="center"/>
          <w:rPr>
            <w:rFonts w:ascii="Sylfaen" w:hAnsi="Sylfaen"/>
            <w:sz w:val="24"/>
          </w:rPr>
        </w:pPr>
        <w:r w:rsidRPr="00AD76E1">
          <w:rPr>
            <w:rFonts w:ascii="Sylfaen" w:hAnsi="Sylfaen"/>
            <w:sz w:val="24"/>
          </w:rPr>
          <w:fldChar w:fldCharType="begin"/>
        </w:r>
        <w:r w:rsidR="00AD76E1" w:rsidRPr="00AD76E1">
          <w:rPr>
            <w:rFonts w:ascii="Sylfaen" w:hAnsi="Sylfaen"/>
            <w:sz w:val="24"/>
          </w:rPr>
          <w:instrText xml:space="preserve"> PAGE   \* MERGEFORMAT </w:instrText>
        </w:r>
        <w:r w:rsidRPr="00AD76E1">
          <w:rPr>
            <w:rFonts w:ascii="Sylfaen" w:hAnsi="Sylfaen"/>
            <w:sz w:val="24"/>
          </w:rPr>
          <w:fldChar w:fldCharType="separate"/>
        </w:r>
        <w:r w:rsidR="009C3F9F">
          <w:rPr>
            <w:rFonts w:ascii="Sylfaen" w:hAnsi="Sylfaen"/>
            <w:noProof/>
            <w:sz w:val="24"/>
          </w:rPr>
          <w:t>10</w:t>
        </w:r>
        <w:r w:rsidRPr="00AD76E1">
          <w:rPr>
            <w:rFonts w:ascii="Sylfaen" w:hAnsi="Sylfae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CD8D" w14:textId="77777777" w:rsidR="00AD76E1" w:rsidRDefault="00AD7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A333" w14:textId="77777777" w:rsidR="00244452" w:rsidRDefault="00244452" w:rsidP="007B29FD">
      <w:pPr>
        <w:spacing w:after="0" w:line="240" w:lineRule="auto"/>
      </w:pPr>
      <w:r>
        <w:separator/>
      </w:r>
    </w:p>
  </w:footnote>
  <w:footnote w:type="continuationSeparator" w:id="0">
    <w:p w14:paraId="2C2838CD" w14:textId="77777777" w:rsidR="00244452" w:rsidRDefault="00244452" w:rsidP="007B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4E1C" w14:textId="77777777" w:rsidR="00AD76E1" w:rsidRDefault="00AD7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CAFF" w14:textId="77777777" w:rsidR="00AD76E1" w:rsidRDefault="00AD76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20F4" w14:textId="77777777" w:rsidR="00C457BD" w:rsidRPr="00C457BD" w:rsidRDefault="00C457BD" w:rsidP="00C457BD">
    <w:pPr>
      <w:pStyle w:val="Header"/>
      <w:spacing w:line="360" w:lineRule="auto"/>
      <w:jc w:val="center"/>
      <w:rPr>
        <w:rFonts w:ascii="Times New Roman" w:hAnsi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31FC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5E1EE0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91E0652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E5A3BE7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4A64CAA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E727E6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CDF41AE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18D37EF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081A44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26B4CE1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E612502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3A11B34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A4B0777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FA306AC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B900907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E92771F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12921981">
    <w:abstractNumId w:val="15"/>
  </w:num>
  <w:num w:numId="2" w16cid:durableId="384454037">
    <w:abstractNumId w:val="2"/>
  </w:num>
  <w:num w:numId="3" w16cid:durableId="735665822">
    <w:abstractNumId w:val="0"/>
  </w:num>
  <w:num w:numId="4" w16cid:durableId="321542186">
    <w:abstractNumId w:val="3"/>
  </w:num>
  <w:num w:numId="5" w16cid:durableId="956181185">
    <w:abstractNumId w:val="11"/>
  </w:num>
  <w:num w:numId="6" w16cid:durableId="253906374">
    <w:abstractNumId w:val="13"/>
  </w:num>
  <w:num w:numId="7" w16cid:durableId="480194786">
    <w:abstractNumId w:val="5"/>
  </w:num>
  <w:num w:numId="8" w16cid:durableId="1745646435">
    <w:abstractNumId w:val="4"/>
  </w:num>
  <w:num w:numId="9" w16cid:durableId="1874028202">
    <w:abstractNumId w:val="14"/>
  </w:num>
  <w:num w:numId="10" w16cid:durableId="1429765741">
    <w:abstractNumId w:val="8"/>
  </w:num>
  <w:num w:numId="11" w16cid:durableId="1882590867">
    <w:abstractNumId w:val="6"/>
  </w:num>
  <w:num w:numId="12" w16cid:durableId="518277748">
    <w:abstractNumId w:val="12"/>
  </w:num>
  <w:num w:numId="13" w16cid:durableId="1213349156">
    <w:abstractNumId w:val="10"/>
  </w:num>
  <w:num w:numId="14" w16cid:durableId="1389836813">
    <w:abstractNumId w:val="1"/>
  </w:num>
  <w:num w:numId="15" w16cid:durableId="669530964">
    <w:abstractNumId w:val="7"/>
  </w:num>
  <w:num w:numId="16" w16cid:durableId="12469143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zU1MDA1s7A0tzRU0lEKTi0uzszPAykwqQUAWAf4iCwAAAA="/>
  </w:docVars>
  <w:rsids>
    <w:rsidRoot w:val="00F03A3C"/>
    <w:rsid w:val="00004BC8"/>
    <w:rsid w:val="00006B31"/>
    <w:rsid w:val="00051266"/>
    <w:rsid w:val="0005176B"/>
    <w:rsid w:val="0006040A"/>
    <w:rsid w:val="000717AE"/>
    <w:rsid w:val="00084BC6"/>
    <w:rsid w:val="00087853"/>
    <w:rsid w:val="000946AA"/>
    <w:rsid w:val="000A1C90"/>
    <w:rsid w:val="000B47E5"/>
    <w:rsid w:val="000C067D"/>
    <w:rsid w:val="000C4CC9"/>
    <w:rsid w:val="000D33D6"/>
    <w:rsid w:val="000D5356"/>
    <w:rsid w:val="000E18E8"/>
    <w:rsid w:val="00103103"/>
    <w:rsid w:val="00105168"/>
    <w:rsid w:val="001064B2"/>
    <w:rsid w:val="00111F8E"/>
    <w:rsid w:val="001203D8"/>
    <w:rsid w:val="00125F5D"/>
    <w:rsid w:val="00132CD0"/>
    <w:rsid w:val="00134A75"/>
    <w:rsid w:val="0015698D"/>
    <w:rsid w:val="00175FCC"/>
    <w:rsid w:val="00182424"/>
    <w:rsid w:val="00184357"/>
    <w:rsid w:val="00191C64"/>
    <w:rsid w:val="001B0937"/>
    <w:rsid w:val="001B1AB4"/>
    <w:rsid w:val="001B4AD6"/>
    <w:rsid w:val="001B7B02"/>
    <w:rsid w:val="001C20B9"/>
    <w:rsid w:val="001D2EB1"/>
    <w:rsid w:val="001E5EED"/>
    <w:rsid w:val="001E67B6"/>
    <w:rsid w:val="001F1B7C"/>
    <w:rsid w:val="001F727C"/>
    <w:rsid w:val="00207A40"/>
    <w:rsid w:val="00225FCF"/>
    <w:rsid w:val="002261C0"/>
    <w:rsid w:val="0024196B"/>
    <w:rsid w:val="002427AC"/>
    <w:rsid w:val="00244452"/>
    <w:rsid w:val="00263298"/>
    <w:rsid w:val="00271317"/>
    <w:rsid w:val="00283866"/>
    <w:rsid w:val="00292875"/>
    <w:rsid w:val="00294050"/>
    <w:rsid w:val="00296CBA"/>
    <w:rsid w:val="002A35B8"/>
    <w:rsid w:val="002B4E69"/>
    <w:rsid w:val="002B5F8B"/>
    <w:rsid w:val="002D07AB"/>
    <w:rsid w:val="002D407E"/>
    <w:rsid w:val="002D4626"/>
    <w:rsid w:val="002E034C"/>
    <w:rsid w:val="002E139C"/>
    <w:rsid w:val="002E21AF"/>
    <w:rsid w:val="00301D9F"/>
    <w:rsid w:val="003070FE"/>
    <w:rsid w:val="003275D1"/>
    <w:rsid w:val="003404E6"/>
    <w:rsid w:val="0034295A"/>
    <w:rsid w:val="00344302"/>
    <w:rsid w:val="00352D52"/>
    <w:rsid w:val="00355F28"/>
    <w:rsid w:val="003611A2"/>
    <w:rsid w:val="00362303"/>
    <w:rsid w:val="00372117"/>
    <w:rsid w:val="00380C4B"/>
    <w:rsid w:val="003909DF"/>
    <w:rsid w:val="00395FB1"/>
    <w:rsid w:val="003A15FE"/>
    <w:rsid w:val="003A1B44"/>
    <w:rsid w:val="003A2361"/>
    <w:rsid w:val="003B3A72"/>
    <w:rsid w:val="003C1783"/>
    <w:rsid w:val="003C6EBB"/>
    <w:rsid w:val="003D678C"/>
    <w:rsid w:val="003D77C0"/>
    <w:rsid w:val="003E132F"/>
    <w:rsid w:val="003E45C8"/>
    <w:rsid w:val="003E6918"/>
    <w:rsid w:val="003F6B73"/>
    <w:rsid w:val="003F7852"/>
    <w:rsid w:val="00404296"/>
    <w:rsid w:val="00406829"/>
    <w:rsid w:val="004078BC"/>
    <w:rsid w:val="00421B54"/>
    <w:rsid w:val="00433B20"/>
    <w:rsid w:val="00441C33"/>
    <w:rsid w:val="00445C1D"/>
    <w:rsid w:val="00456B61"/>
    <w:rsid w:val="00470B0C"/>
    <w:rsid w:val="00483A9C"/>
    <w:rsid w:val="00487884"/>
    <w:rsid w:val="00496DE2"/>
    <w:rsid w:val="00496E4D"/>
    <w:rsid w:val="004B6C08"/>
    <w:rsid w:val="004C10B3"/>
    <w:rsid w:val="004C16EE"/>
    <w:rsid w:val="004C3667"/>
    <w:rsid w:val="004C47B1"/>
    <w:rsid w:val="004D608C"/>
    <w:rsid w:val="004E46C6"/>
    <w:rsid w:val="004E5738"/>
    <w:rsid w:val="004E7633"/>
    <w:rsid w:val="004F6652"/>
    <w:rsid w:val="00504939"/>
    <w:rsid w:val="0051031B"/>
    <w:rsid w:val="00512EB5"/>
    <w:rsid w:val="0051454A"/>
    <w:rsid w:val="00516729"/>
    <w:rsid w:val="00517396"/>
    <w:rsid w:val="00517F20"/>
    <w:rsid w:val="00540EFD"/>
    <w:rsid w:val="00544AAB"/>
    <w:rsid w:val="00556EE6"/>
    <w:rsid w:val="0056581D"/>
    <w:rsid w:val="00575D6D"/>
    <w:rsid w:val="005844FA"/>
    <w:rsid w:val="005A067C"/>
    <w:rsid w:val="005A3910"/>
    <w:rsid w:val="005A5989"/>
    <w:rsid w:val="005B5A0F"/>
    <w:rsid w:val="005B6092"/>
    <w:rsid w:val="005B6987"/>
    <w:rsid w:val="005C7610"/>
    <w:rsid w:val="005D6EC8"/>
    <w:rsid w:val="005F5477"/>
    <w:rsid w:val="005F74E3"/>
    <w:rsid w:val="00606387"/>
    <w:rsid w:val="006104F8"/>
    <w:rsid w:val="00624669"/>
    <w:rsid w:val="006279CB"/>
    <w:rsid w:val="00632B8F"/>
    <w:rsid w:val="00632EF4"/>
    <w:rsid w:val="00632F28"/>
    <w:rsid w:val="00634723"/>
    <w:rsid w:val="0066024F"/>
    <w:rsid w:val="00676CD3"/>
    <w:rsid w:val="006908C8"/>
    <w:rsid w:val="00693887"/>
    <w:rsid w:val="00697BCD"/>
    <w:rsid w:val="006A2D68"/>
    <w:rsid w:val="006A331D"/>
    <w:rsid w:val="006A5978"/>
    <w:rsid w:val="006A5D6D"/>
    <w:rsid w:val="006D4E34"/>
    <w:rsid w:val="006E324A"/>
    <w:rsid w:val="006F370E"/>
    <w:rsid w:val="006F4474"/>
    <w:rsid w:val="006F44AA"/>
    <w:rsid w:val="00713A24"/>
    <w:rsid w:val="0071716F"/>
    <w:rsid w:val="00721952"/>
    <w:rsid w:val="00724586"/>
    <w:rsid w:val="00751A11"/>
    <w:rsid w:val="007733CB"/>
    <w:rsid w:val="007750AD"/>
    <w:rsid w:val="007B29FD"/>
    <w:rsid w:val="007B356B"/>
    <w:rsid w:val="007C3836"/>
    <w:rsid w:val="007C3C8B"/>
    <w:rsid w:val="007C6788"/>
    <w:rsid w:val="007D0302"/>
    <w:rsid w:val="007D648F"/>
    <w:rsid w:val="007F50D9"/>
    <w:rsid w:val="007F795C"/>
    <w:rsid w:val="0080270A"/>
    <w:rsid w:val="0080449E"/>
    <w:rsid w:val="00825D9C"/>
    <w:rsid w:val="00843D00"/>
    <w:rsid w:val="00853D63"/>
    <w:rsid w:val="008656CB"/>
    <w:rsid w:val="00866C21"/>
    <w:rsid w:val="00872CD2"/>
    <w:rsid w:val="00876E27"/>
    <w:rsid w:val="00891B45"/>
    <w:rsid w:val="0089661F"/>
    <w:rsid w:val="00896F78"/>
    <w:rsid w:val="008B3C83"/>
    <w:rsid w:val="008C0F3C"/>
    <w:rsid w:val="008C6372"/>
    <w:rsid w:val="008D74B8"/>
    <w:rsid w:val="008F4EBA"/>
    <w:rsid w:val="008F65EC"/>
    <w:rsid w:val="0090758E"/>
    <w:rsid w:val="00921772"/>
    <w:rsid w:val="009309B0"/>
    <w:rsid w:val="00934C86"/>
    <w:rsid w:val="009375E9"/>
    <w:rsid w:val="00957107"/>
    <w:rsid w:val="0096435B"/>
    <w:rsid w:val="00967678"/>
    <w:rsid w:val="009763C3"/>
    <w:rsid w:val="00977F09"/>
    <w:rsid w:val="00982B51"/>
    <w:rsid w:val="00995D75"/>
    <w:rsid w:val="009A5F65"/>
    <w:rsid w:val="009B1E06"/>
    <w:rsid w:val="009B2EBB"/>
    <w:rsid w:val="009C3F9F"/>
    <w:rsid w:val="009D088A"/>
    <w:rsid w:val="009D0C1A"/>
    <w:rsid w:val="009D53A8"/>
    <w:rsid w:val="009D78C2"/>
    <w:rsid w:val="009E057E"/>
    <w:rsid w:val="009E571C"/>
    <w:rsid w:val="009F0E97"/>
    <w:rsid w:val="009F1217"/>
    <w:rsid w:val="00A049F0"/>
    <w:rsid w:val="00A14587"/>
    <w:rsid w:val="00A15733"/>
    <w:rsid w:val="00A16D45"/>
    <w:rsid w:val="00A172CD"/>
    <w:rsid w:val="00A21F06"/>
    <w:rsid w:val="00A220D9"/>
    <w:rsid w:val="00A37C54"/>
    <w:rsid w:val="00A42CC5"/>
    <w:rsid w:val="00A72F29"/>
    <w:rsid w:val="00A74F73"/>
    <w:rsid w:val="00A840A1"/>
    <w:rsid w:val="00A94813"/>
    <w:rsid w:val="00AA47B3"/>
    <w:rsid w:val="00AA52AB"/>
    <w:rsid w:val="00AA601F"/>
    <w:rsid w:val="00AA64F7"/>
    <w:rsid w:val="00AB27CC"/>
    <w:rsid w:val="00AC6122"/>
    <w:rsid w:val="00AD76E1"/>
    <w:rsid w:val="00AE1503"/>
    <w:rsid w:val="00AF3BAF"/>
    <w:rsid w:val="00B03884"/>
    <w:rsid w:val="00B11404"/>
    <w:rsid w:val="00B1387D"/>
    <w:rsid w:val="00B26E5D"/>
    <w:rsid w:val="00B27BA1"/>
    <w:rsid w:val="00B3021B"/>
    <w:rsid w:val="00B417BE"/>
    <w:rsid w:val="00B57F78"/>
    <w:rsid w:val="00B64F2D"/>
    <w:rsid w:val="00B752C5"/>
    <w:rsid w:val="00B77B82"/>
    <w:rsid w:val="00B85719"/>
    <w:rsid w:val="00B871D7"/>
    <w:rsid w:val="00B924D4"/>
    <w:rsid w:val="00B92ED5"/>
    <w:rsid w:val="00BB367C"/>
    <w:rsid w:val="00BC237E"/>
    <w:rsid w:val="00BC4D7B"/>
    <w:rsid w:val="00BD0166"/>
    <w:rsid w:val="00BE1B4F"/>
    <w:rsid w:val="00BE3423"/>
    <w:rsid w:val="00BE38D1"/>
    <w:rsid w:val="00BF6B24"/>
    <w:rsid w:val="00BF7BB9"/>
    <w:rsid w:val="00C22429"/>
    <w:rsid w:val="00C2302D"/>
    <w:rsid w:val="00C23174"/>
    <w:rsid w:val="00C2502E"/>
    <w:rsid w:val="00C317A9"/>
    <w:rsid w:val="00C4420C"/>
    <w:rsid w:val="00C457BD"/>
    <w:rsid w:val="00C54CC8"/>
    <w:rsid w:val="00C644E1"/>
    <w:rsid w:val="00C724E9"/>
    <w:rsid w:val="00C8298F"/>
    <w:rsid w:val="00C82DCB"/>
    <w:rsid w:val="00C8321B"/>
    <w:rsid w:val="00C853C5"/>
    <w:rsid w:val="00CA6BDE"/>
    <w:rsid w:val="00CB02DD"/>
    <w:rsid w:val="00CC43BC"/>
    <w:rsid w:val="00CD01B3"/>
    <w:rsid w:val="00CD070D"/>
    <w:rsid w:val="00CD4AC0"/>
    <w:rsid w:val="00CE2D1F"/>
    <w:rsid w:val="00CE319B"/>
    <w:rsid w:val="00CF327B"/>
    <w:rsid w:val="00D01BCD"/>
    <w:rsid w:val="00D0489E"/>
    <w:rsid w:val="00D2733F"/>
    <w:rsid w:val="00D446B0"/>
    <w:rsid w:val="00D44DC4"/>
    <w:rsid w:val="00D50939"/>
    <w:rsid w:val="00D55523"/>
    <w:rsid w:val="00D56857"/>
    <w:rsid w:val="00D67410"/>
    <w:rsid w:val="00D741CC"/>
    <w:rsid w:val="00D77B5D"/>
    <w:rsid w:val="00D961AB"/>
    <w:rsid w:val="00DA0B29"/>
    <w:rsid w:val="00DA38A4"/>
    <w:rsid w:val="00DB4545"/>
    <w:rsid w:val="00DB7F86"/>
    <w:rsid w:val="00DC0B62"/>
    <w:rsid w:val="00DC36E1"/>
    <w:rsid w:val="00DC3885"/>
    <w:rsid w:val="00DD1D3A"/>
    <w:rsid w:val="00DD35F5"/>
    <w:rsid w:val="00DD77DE"/>
    <w:rsid w:val="00DF1A4A"/>
    <w:rsid w:val="00E06A5B"/>
    <w:rsid w:val="00E13C4E"/>
    <w:rsid w:val="00E33528"/>
    <w:rsid w:val="00E44DEF"/>
    <w:rsid w:val="00E52030"/>
    <w:rsid w:val="00E66336"/>
    <w:rsid w:val="00E768C7"/>
    <w:rsid w:val="00E86143"/>
    <w:rsid w:val="00E92DA4"/>
    <w:rsid w:val="00EA2DF4"/>
    <w:rsid w:val="00EA3642"/>
    <w:rsid w:val="00EC5035"/>
    <w:rsid w:val="00EC6DDD"/>
    <w:rsid w:val="00ED21D6"/>
    <w:rsid w:val="00EE6856"/>
    <w:rsid w:val="00EF2D54"/>
    <w:rsid w:val="00F03A3C"/>
    <w:rsid w:val="00F122F5"/>
    <w:rsid w:val="00F2272D"/>
    <w:rsid w:val="00F3380C"/>
    <w:rsid w:val="00F36513"/>
    <w:rsid w:val="00F370FD"/>
    <w:rsid w:val="00F40761"/>
    <w:rsid w:val="00F47C94"/>
    <w:rsid w:val="00F53EB4"/>
    <w:rsid w:val="00F61567"/>
    <w:rsid w:val="00F71761"/>
    <w:rsid w:val="00F83B97"/>
    <w:rsid w:val="00F86FB5"/>
    <w:rsid w:val="00F915A4"/>
    <w:rsid w:val="00FA17CE"/>
    <w:rsid w:val="00FA1D8D"/>
    <w:rsid w:val="00FA2708"/>
    <w:rsid w:val="00FB7A7D"/>
    <w:rsid w:val="00FD19B5"/>
    <w:rsid w:val="00FE19D8"/>
    <w:rsid w:val="00FE326E"/>
    <w:rsid w:val="00FE694D"/>
    <w:rsid w:val="00FF1716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27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y-AM" w:eastAsia="hy-AM" w:bidi="hy-A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80C"/>
    <w:pPr>
      <w:spacing w:after="160" w:line="259" w:lineRule="auto"/>
    </w:pPr>
    <w:rPr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7B29FD"/>
    <w:pPr>
      <w:keepNext/>
      <w:keepLines/>
      <w:spacing w:before="240" w:after="240"/>
      <w:contextualSpacing/>
      <w:jc w:val="center"/>
      <w:outlineLvl w:val="0"/>
    </w:pPr>
    <w:rPr>
      <w:rFonts w:ascii="Times New Roman" w:eastAsia="Times New Roman" w:hAnsi="Times New Roman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70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70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="Calibri Light" w:eastAsia="Times New Roman" w:hAnsi="Calibri Light"/>
      <w:b/>
      <w:bCs/>
      <w:i/>
      <w:iCs/>
      <w:color w:val="5B9BD5"/>
      <w:sz w:val="22"/>
      <w:szCs w:val="22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="Calibri Light" w:eastAsia="Times New Roman" w:hAnsi="Calibri Light"/>
      <w:color w:val="1F4D78"/>
      <w:sz w:val="22"/>
      <w:szCs w:val="22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="Calibri Light" w:eastAsia="Times New Roman" w:hAnsi="Calibri Light"/>
      <w:i/>
      <w:iCs/>
      <w:color w:val="1F4D7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9FD"/>
  </w:style>
  <w:style w:type="paragraph" w:styleId="Footer">
    <w:name w:val="footer"/>
    <w:basedOn w:val="Normal"/>
    <w:link w:val="FooterChar"/>
    <w:uiPriority w:val="99"/>
    <w:unhideWhenUsed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9FD"/>
  </w:style>
  <w:style w:type="character" w:customStyle="1" w:styleId="Heading1Char">
    <w:name w:val="Heading 1 Char"/>
    <w:link w:val="Heading1"/>
    <w:uiPriority w:val="9"/>
    <w:rsid w:val="007B29FD"/>
    <w:rPr>
      <w:rFonts w:ascii="Times New Roman" w:eastAsia="Times New Roman" w:hAnsi="Times New Roman" w:cs="Times New Roman"/>
      <w:sz w:val="30"/>
      <w:szCs w:val="32"/>
    </w:rPr>
  </w:style>
  <w:style w:type="paragraph" w:customStyle="1" w:styleId="a">
    <w:name w:val="Заголовок документа"/>
    <w:qFormat/>
    <w:rsid w:val="007B29FD"/>
    <w:pPr>
      <w:keepLines/>
      <w:spacing w:after="440"/>
      <w:contextualSpacing/>
      <w:jc w:val="center"/>
    </w:pPr>
    <w:rPr>
      <w:rFonts w:ascii="Times New Roman" w:eastAsia="Times New Roman" w:hAnsi="Times New Roman"/>
      <w:b/>
      <w:sz w:val="30"/>
      <w:szCs w:val="28"/>
    </w:rPr>
  </w:style>
  <w:style w:type="paragraph" w:customStyle="1" w:styleId="a0">
    <w:name w:val="Вид документа"/>
    <w:link w:val="a1"/>
    <w:qFormat/>
    <w:rsid w:val="007B29FD"/>
    <w:pPr>
      <w:spacing w:before="480"/>
      <w:jc w:val="center"/>
    </w:pPr>
    <w:rPr>
      <w:rFonts w:ascii="Times New Roman Полужирный" w:eastAsia="Times New Roman" w:hAnsi="Times New Roman Полужирный"/>
      <w:b/>
      <w:caps/>
      <w:spacing w:val="40"/>
      <w:sz w:val="30"/>
      <w:szCs w:val="28"/>
    </w:rPr>
  </w:style>
  <w:style w:type="paragraph" w:customStyle="1" w:styleId="a2">
    <w:name w:val="Обычный с красной строки"/>
    <w:basedOn w:val="Normal"/>
    <w:link w:val="a3"/>
    <w:qFormat/>
    <w:rsid w:val="007B29FD"/>
    <w:pPr>
      <w:spacing w:after="120" w:line="276" w:lineRule="auto"/>
      <w:ind w:firstLine="709"/>
      <w:jc w:val="both"/>
    </w:pPr>
    <w:rPr>
      <w:rFonts w:ascii="Times New Roman" w:hAnsi="Times New Roman"/>
      <w:sz w:val="30"/>
    </w:rPr>
  </w:style>
  <w:style w:type="character" w:customStyle="1" w:styleId="a3">
    <w:name w:val="Обычный с красной строки Знак"/>
    <w:link w:val="a2"/>
    <w:rsid w:val="007B29FD"/>
    <w:rPr>
      <w:rFonts w:ascii="Times New Roman" w:hAnsi="Times New Roman"/>
      <w:sz w:val="30"/>
    </w:rPr>
  </w:style>
  <w:style w:type="paragraph" w:customStyle="1" w:styleId="a4">
    <w:name w:val="Обычный с номером"/>
    <w:basedOn w:val="a2"/>
    <w:link w:val="a5"/>
    <w:qFormat/>
    <w:rsid w:val="007B29FD"/>
    <w:pPr>
      <w:outlineLvl w:val="2"/>
    </w:pPr>
    <w:rPr>
      <w:noProof/>
    </w:rPr>
  </w:style>
  <w:style w:type="character" w:customStyle="1" w:styleId="a5">
    <w:name w:val="Обычный с номером Знак"/>
    <w:link w:val="a4"/>
    <w:rsid w:val="007B29FD"/>
    <w:rPr>
      <w:rFonts w:ascii="Times New Roman" w:hAnsi="Times New Roman"/>
      <w:noProof/>
      <w:sz w:val="30"/>
    </w:rPr>
  </w:style>
  <w:style w:type="table" w:styleId="TableGrid">
    <w:name w:val="Table Grid"/>
    <w:basedOn w:val="TableNormal"/>
    <w:uiPriority w:val="59"/>
    <w:rsid w:val="003070FE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6">
    <w:name w:val="_Основной с красной строки"/>
    <w:basedOn w:val="Normal"/>
    <w:link w:val="a7"/>
    <w:qFormat/>
    <w:rsid w:val="00C853C5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</w:rPr>
  </w:style>
  <w:style w:type="character" w:customStyle="1" w:styleId="a7">
    <w:name w:val="_Основной с красной строки Знак"/>
    <w:link w:val="a6"/>
    <w:rsid w:val="00C853C5"/>
    <w:rPr>
      <w:rFonts w:ascii="Times New Roman" w:eastAsia="Times New Roman" w:hAnsi="Times New Roman" w:cs="Times New Roman"/>
      <w:sz w:val="30"/>
      <w:szCs w:val="24"/>
    </w:rPr>
  </w:style>
  <w:style w:type="character" w:customStyle="1" w:styleId="Heading2Char">
    <w:name w:val="Heading 2 Char"/>
    <w:link w:val="Heading2"/>
    <w:uiPriority w:val="9"/>
    <w:rsid w:val="00FA2708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a8">
    <w:name w:val="Обычный ПВД (абзац)"/>
    <w:basedOn w:val="Heading3"/>
    <w:qFormat/>
    <w:rsid w:val="00FA2708"/>
    <w:pPr>
      <w:keepNext w:val="0"/>
      <w:keepLines w:val="0"/>
      <w:widowControl w:val="0"/>
      <w:spacing w:before="0" w:line="360" w:lineRule="auto"/>
      <w:ind w:firstLine="709"/>
      <w:jc w:val="both"/>
    </w:pPr>
    <w:rPr>
      <w:rFonts w:ascii="Times New Roman" w:hAnsi="Times New Roman"/>
      <w:color w:val="auto"/>
      <w:sz w:val="30"/>
    </w:rPr>
  </w:style>
  <w:style w:type="paragraph" w:customStyle="1" w:styleId="1">
    <w:name w:val="Заголовок 1 ПВД"/>
    <w:basedOn w:val="Heading1"/>
    <w:qFormat/>
    <w:rsid w:val="00FA2708"/>
    <w:pPr>
      <w:spacing w:before="360" w:after="360"/>
    </w:pPr>
  </w:style>
  <w:style w:type="character" w:customStyle="1" w:styleId="Heading3Char">
    <w:name w:val="Heading 3 Char"/>
    <w:link w:val="Heading3"/>
    <w:uiPriority w:val="9"/>
    <w:semiHidden/>
    <w:rsid w:val="00FA2708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2">
    <w:name w:val="Заголовок 2 ПВД"/>
    <w:basedOn w:val="Heading1"/>
    <w:qFormat/>
    <w:rsid w:val="00FA2708"/>
    <w:pPr>
      <w:spacing w:before="360" w:after="360"/>
      <w:outlineLvl w:val="1"/>
    </w:pPr>
  </w:style>
  <w:style w:type="character" w:styleId="Hyperlink">
    <w:name w:val="Hyperlink"/>
    <w:uiPriority w:val="99"/>
    <w:unhideWhenUsed/>
    <w:rsid w:val="00F3380C"/>
    <w:rPr>
      <w:color w:val="0563C1"/>
      <w:u w:val="single"/>
    </w:rPr>
  </w:style>
  <w:style w:type="paragraph" w:customStyle="1" w:styleId="a9">
    <w:name w:val="Табл. текст влево"/>
    <w:basedOn w:val="Normal"/>
    <w:qFormat/>
    <w:rsid w:val="00004BC8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a">
    <w:name w:val="ПВД_Обычный с номером"/>
    <w:basedOn w:val="Normal"/>
    <w:qFormat/>
    <w:rsid w:val="00004BC8"/>
    <w:pPr>
      <w:spacing w:after="0" w:line="360" w:lineRule="auto"/>
      <w:ind w:firstLine="709"/>
      <w:jc w:val="both"/>
    </w:pPr>
    <w:rPr>
      <w:sz w:val="30"/>
    </w:rPr>
  </w:style>
  <w:style w:type="character" w:styleId="CommentReference">
    <w:name w:val="annotation reference"/>
    <w:uiPriority w:val="99"/>
    <w:semiHidden/>
    <w:unhideWhenUsed/>
    <w:rsid w:val="00C72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2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4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24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24E9"/>
    <w:rPr>
      <w:rFonts w:ascii="Segoe UI" w:hAnsi="Segoe UI" w:cs="Segoe UI"/>
      <w:sz w:val="18"/>
      <w:szCs w:val="18"/>
    </w:rPr>
  </w:style>
  <w:style w:type="character" w:customStyle="1" w:styleId="a1">
    <w:name w:val="Вид документа Знак"/>
    <w:basedOn w:val="DefaultParagraphFont"/>
    <w:link w:val="a0"/>
    <w:locked/>
    <w:rsid w:val="00FA1D8D"/>
    <w:rPr>
      <w:rFonts w:ascii="Times New Roman Полужирный" w:eastAsia="Times New Roman" w:hAnsi="Times New Roman Полужирный"/>
      <w:b/>
      <w:caps/>
      <w:spacing w:val="40"/>
      <w:sz w:val="30"/>
      <w:szCs w:val="28"/>
      <w:lang w:eastAsia="hy-AM"/>
    </w:rPr>
  </w:style>
  <w:style w:type="paragraph" w:customStyle="1" w:styleId="Default">
    <w:name w:val="Default"/>
    <w:rsid w:val="004C47B1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1ACC-170D-420D-9D80-9386F1BC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2127</Words>
  <Characters>12128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2024-04-23T05:59:00Z</dcterms:created>
  <dcterms:modified xsi:type="dcterms:W3CDTF">2025-01-10T12:10:00Z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0.2.1</vt:lpwstr>
  </property>
</Properties>
</file>