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308FE">
        <w:rPr>
          <w:rFonts w:ascii="Sylfaen" w:hAnsi="Sylfaen"/>
          <w:sz w:val="24"/>
          <w:szCs w:val="24"/>
        </w:rPr>
        <w:t>ПРИЛОЖЕНИЕ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к Рекомендации Коллегии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от 4 августа 2017 г. № 14</w:t>
      </w:r>
    </w:p>
    <w:p w:rsidR="002D4DE1" w:rsidRDefault="002D4DE1" w:rsidP="004308FE">
      <w:pPr>
        <w:pStyle w:val="Bodytext30"/>
        <w:shd w:val="clear" w:color="auto" w:fill="auto"/>
        <w:spacing w:before="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7C1BB7" w:rsidRPr="004308FE" w:rsidRDefault="007515C0" w:rsidP="004308FE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4308F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ЕДИНЫЕ ПОДХОДЫ</w:t>
      </w:r>
    </w:p>
    <w:p w:rsidR="007C1BB7" w:rsidRPr="004308FE" w:rsidRDefault="007515C0" w:rsidP="004308FE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к организации пропуска лиц, транспортных средств и товаров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в местах перемещения товаров через таможенную границу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Евразийского экономического союза автомобильным транспортом</w:t>
      </w:r>
    </w:p>
    <w:p w:rsidR="002D4DE1" w:rsidRDefault="002D4DE1" w:rsidP="004308FE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7C1BB7" w:rsidRPr="004308FE" w:rsidRDefault="004308FE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1.</w:t>
      </w:r>
      <w:r w:rsidR="002D4DE1">
        <w:rPr>
          <w:rFonts w:ascii="Sylfaen" w:hAnsi="Sylfaen"/>
          <w:sz w:val="24"/>
          <w:szCs w:val="24"/>
        </w:rPr>
        <w:t xml:space="preserve"> </w:t>
      </w:r>
      <w:r w:rsidR="007515C0" w:rsidRPr="004308FE">
        <w:rPr>
          <w:rFonts w:ascii="Sylfaen" w:hAnsi="Sylfaen"/>
          <w:sz w:val="24"/>
          <w:szCs w:val="24"/>
        </w:rPr>
        <w:t>В настоящем документе даются рекомендации относительно последовательности контрольных операций при проведении должностными лицами контролирующих органов государств - членов Евразийского экономического союза (далее соответственно контролирующие органы, государство-член, Союз) таможенного, транспортного</w:t>
      </w:r>
      <w:r w:rsidR="002D4DE1">
        <w:rPr>
          <w:rFonts w:ascii="Sylfaen" w:hAnsi="Sylfaen"/>
          <w:sz w:val="24"/>
          <w:szCs w:val="24"/>
        </w:rPr>
        <w:t xml:space="preserve"> </w:t>
      </w:r>
      <w:r w:rsidR="007515C0" w:rsidRPr="004308FE">
        <w:rPr>
          <w:rFonts w:ascii="Sylfaen" w:hAnsi="Sylfaen"/>
          <w:sz w:val="24"/>
          <w:szCs w:val="24"/>
        </w:rPr>
        <w:t>(автомобильного),</w:t>
      </w:r>
      <w:r w:rsidR="002D4DE1">
        <w:rPr>
          <w:rFonts w:ascii="Sylfaen" w:hAnsi="Sylfaen"/>
          <w:sz w:val="24"/>
          <w:szCs w:val="24"/>
        </w:rPr>
        <w:t xml:space="preserve"> </w:t>
      </w:r>
      <w:r w:rsidR="007515C0" w:rsidRPr="004308FE">
        <w:rPr>
          <w:rFonts w:ascii="Sylfaen" w:hAnsi="Sylfaen"/>
          <w:sz w:val="24"/>
          <w:szCs w:val="24"/>
        </w:rPr>
        <w:t>радиационного, санитарно-карантинного контроля, ветеринарного, карантинного фитосанитарного контроля (надзора) (далее - государственный контроль) при перемещении лиц, транспортных средств и товаров в местах перемещения товаров через таможенную границу Союза в автомобильных пунктах пропуска через государственную границу государства-члена (далее - пункт пропуска) и других мер по организации их пропуска.</w:t>
      </w:r>
    </w:p>
    <w:p w:rsidR="007C1BB7" w:rsidRPr="004308FE" w:rsidRDefault="004308FE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2.</w:t>
      </w:r>
      <w:r w:rsidR="002D4DE1">
        <w:rPr>
          <w:rFonts w:ascii="Sylfaen" w:hAnsi="Sylfaen"/>
          <w:sz w:val="24"/>
          <w:szCs w:val="24"/>
        </w:rPr>
        <w:t xml:space="preserve"> </w:t>
      </w:r>
      <w:r w:rsidR="007515C0" w:rsidRPr="004308FE">
        <w:rPr>
          <w:rFonts w:ascii="Sylfaen" w:hAnsi="Sylfaen"/>
          <w:sz w:val="24"/>
          <w:szCs w:val="24"/>
        </w:rPr>
        <w:t>При въезде (ввозе) на таможенную территорию Союза лиц, транспортных средств и товаров рекомендуется следующая последовательность проведения контролирующими органами видов государственного контроля в пункте пропуска: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а)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радиационный контроль;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б)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санитарно-карантинный контроль;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в)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ветеринарный контроль (надзор);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г)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карантинный фитосанитарный контроль (надзор);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д)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транспортный (автомобильный) контроль;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е)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таможенный контроль;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ж)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иные виды государственного контроля (надзора) (проводятся в соответствии с международными договорами и актами, составляющими право Союза, и (или) законодательством государства-члена).</w:t>
      </w:r>
    </w:p>
    <w:p w:rsidR="007C1BB7" w:rsidRPr="004308FE" w:rsidRDefault="004308FE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3.</w:t>
      </w:r>
      <w:r w:rsidR="002D4DE1">
        <w:rPr>
          <w:rFonts w:ascii="Sylfaen" w:hAnsi="Sylfaen"/>
          <w:sz w:val="24"/>
          <w:szCs w:val="24"/>
        </w:rPr>
        <w:t xml:space="preserve"> </w:t>
      </w:r>
      <w:r w:rsidR="007515C0" w:rsidRPr="004308FE">
        <w:rPr>
          <w:rFonts w:ascii="Sylfaen" w:hAnsi="Sylfaen"/>
          <w:sz w:val="24"/>
          <w:szCs w:val="24"/>
        </w:rPr>
        <w:t>При выезде (вывозе) с таможенной территории Союза лиц, транспортных средств и товаров рекомендуется следующая последовательность проведения контролирующими органами видов государственного контроля в пункте пропуска: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а)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радиационный контроль;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б)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транспортный (автомобильный) контроль;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lastRenderedPageBreak/>
        <w:t>в)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ветеринарный контроль (надзор);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г)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санитарно-карантинный контроль;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д)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таможенный контроль;</w:t>
      </w:r>
    </w:p>
    <w:p w:rsidR="007C1BB7" w:rsidRPr="004308FE" w:rsidRDefault="007515C0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е)</w:t>
      </w:r>
      <w:r w:rsidR="002D4DE1">
        <w:rPr>
          <w:rFonts w:ascii="Sylfaen" w:hAnsi="Sylfaen"/>
          <w:sz w:val="24"/>
          <w:szCs w:val="24"/>
        </w:rPr>
        <w:t xml:space="preserve"> </w:t>
      </w:r>
      <w:r w:rsidRPr="004308FE">
        <w:rPr>
          <w:rFonts w:ascii="Sylfaen" w:hAnsi="Sylfaen"/>
          <w:sz w:val="24"/>
          <w:szCs w:val="24"/>
        </w:rPr>
        <w:t>иные виды государственного контроля (надзора) (проводятся в соответствии с международными договорами и актами, составляющими право Союза, и (или) законодательством государства-члена).</w:t>
      </w:r>
    </w:p>
    <w:p w:rsidR="007C1BB7" w:rsidRPr="004308FE" w:rsidRDefault="004308FE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4.</w:t>
      </w:r>
      <w:r w:rsidR="002D4DE1">
        <w:rPr>
          <w:rFonts w:ascii="Sylfaen" w:hAnsi="Sylfaen"/>
          <w:sz w:val="24"/>
          <w:szCs w:val="24"/>
        </w:rPr>
        <w:t xml:space="preserve"> </w:t>
      </w:r>
      <w:r w:rsidR="007515C0" w:rsidRPr="004308FE">
        <w:rPr>
          <w:rFonts w:ascii="Sylfaen" w:hAnsi="Sylfaen"/>
          <w:sz w:val="24"/>
          <w:szCs w:val="24"/>
        </w:rPr>
        <w:t>Пропуск через таможенную границу Союза лиц и товаров для личного пользования в пункте пропуска может осуществляться с использованием системы двойного коридора.</w:t>
      </w:r>
    </w:p>
    <w:p w:rsidR="007C1BB7" w:rsidRPr="004308FE" w:rsidRDefault="004308FE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5.</w:t>
      </w:r>
      <w:r w:rsidR="002D4DE1">
        <w:rPr>
          <w:rFonts w:ascii="Sylfaen" w:hAnsi="Sylfaen"/>
          <w:sz w:val="24"/>
          <w:szCs w:val="24"/>
        </w:rPr>
        <w:t xml:space="preserve"> </w:t>
      </w:r>
      <w:r w:rsidR="007515C0" w:rsidRPr="004308FE">
        <w:rPr>
          <w:rFonts w:ascii="Sylfaen" w:hAnsi="Sylfaen"/>
          <w:sz w:val="24"/>
          <w:szCs w:val="24"/>
        </w:rPr>
        <w:t>В целях соблюдения нормативов по времени пропуска лиц, транспортных средств и товаров без ущерба качеству государственного контроля при увеличении потоков лиц, транспортных средств и товаров таможенный орган в зависимости от инфраструктуры, существующей в пункте пропуска, может устанавливать отдельные (дополнительные) полосы движения, места стоянок (площадки), а также перераспределять должностных лиц таможенного органа с учетом необходимости увеличения их количества на соответствующем направлении.</w:t>
      </w:r>
    </w:p>
    <w:p w:rsidR="007C1BB7" w:rsidRPr="004308FE" w:rsidRDefault="004308FE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6.</w:t>
      </w:r>
      <w:r w:rsidR="002D4DE1">
        <w:rPr>
          <w:rFonts w:ascii="Sylfaen" w:hAnsi="Sylfaen"/>
          <w:sz w:val="24"/>
          <w:szCs w:val="24"/>
        </w:rPr>
        <w:t xml:space="preserve"> </w:t>
      </w:r>
      <w:r w:rsidR="007515C0" w:rsidRPr="004308FE">
        <w:rPr>
          <w:rFonts w:ascii="Sylfaen" w:hAnsi="Sylfaen"/>
          <w:sz w:val="24"/>
          <w:szCs w:val="24"/>
        </w:rPr>
        <w:t>При наличии возможности в целях сокращения общего времени проведения государственного контроля в пункте пропуска осмотр (досмотр) лиц, транспортных средств и товаров рекомендуется проводить в специально оборудованных местах пункта пропуска должностными лицами таможенного органа совместно с должностными лицами иных контролирующих органов, если этими контролирующими органами также принято решение о проведении осмотра (досмотра).</w:t>
      </w:r>
    </w:p>
    <w:p w:rsidR="007C1BB7" w:rsidRPr="004308FE" w:rsidRDefault="004308FE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7.</w:t>
      </w:r>
      <w:r w:rsidR="002D4DE1">
        <w:rPr>
          <w:rFonts w:ascii="Sylfaen" w:hAnsi="Sylfaen"/>
          <w:sz w:val="24"/>
          <w:szCs w:val="24"/>
        </w:rPr>
        <w:t xml:space="preserve"> </w:t>
      </w:r>
      <w:r w:rsidR="007515C0" w:rsidRPr="004308FE">
        <w:rPr>
          <w:rFonts w:ascii="Sylfaen" w:hAnsi="Sylfaen"/>
          <w:sz w:val="24"/>
          <w:szCs w:val="24"/>
        </w:rPr>
        <w:t>Должностным лицам контролирующего органа рекомендуется незамедлительно информировать должностных лиц таможенного органа в случае сбоев в работе средств связи, оборудования, информационного и программного обеспечения, а также иных нештатных ситуаций, в результате которых нарушается исполнение контрольных функций, возложенных на контролирующий орган, для принятия необходимых мер по их устранению.</w:t>
      </w:r>
    </w:p>
    <w:p w:rsidR="007C1BB7" w:rsidRPr="004308FE" w:rsidRDefault="004308FE" w:rsidP="002D4DE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08FE">
        <w:rPr>
          <w:rFonts w:ascii="Sylfaen" w:hAnsi="Sylfaen"/>
          <w:sz w:val="24"/>
          <w:szCs w:val="24"/>
        </w:rPr>
        <w:t>8.</w:t>
      </w:r>
      <w:r w:rsidR="002D4DE1">
        <w:rPr>
          <w:rFonts w:ascii="Sylfaen" w:hAnsi="Sylfaen"/>
          <w:sz w:val="24"/>
          <w:szCs w:val="24"/>
        </w:rPr>
        <w:t xml:space="preserve"> </w:t>
      </w:r>
      <w:r w:rsidR="007515C0" w:rsidRPr="004308FE">
        <w:rPr>
          <w:rFonts w:ascii="Sylfaen" w:hAnsi="Sylfaen"/>
          <w:sz w:val="24"/>
          <w:szCs w:val="24"/>
        </w:rPr>
        <w:t>При проведении контрольных операций в пункте пропуска в соответствии с пунктами 6 и 7 настоящего документа могут применяться меры по минимизации рисков в рамках системы управления рисками.</w:t>
      </w:r>
      <w:bookmarkStart w:id="1" w:name="bookmark1"/>
      <w:bookmarkEnd w:id="1"/>
    </w:p>
    <w:sectPr w:rsidR="007C1BB7" w:rsidRPr="004308FE" w:rsidSect="004308F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57" w:rsidRDefault="004A4E57" w:rsidP="007C1BB7">
      <w:r>
        <w:separator/>
      </w:r>
    </w:p>
  </w:endnote>
  <w:endnote w:type="continuationSeparator" w:id="0">
    <w:p w:rsidR="004A4E57" w:rsidRDefault="004A4E57" w:rsidP="007C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57" w:rsidRDefault="004A4E57"/>
  </w:footnote>
  <w:footnote w:type="continuationSeparator" w:id="0">
    <w:p w:rsidR="004A4E57" w:rsidRDefault="004A4E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4C2F"/>
    <w:multiLevelType w:val="multilevel"/>
    <w:tmpl w:val="7E227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67742D"/>
    <w:multiLevelType w:val="multilevel"/>
    <w:tmpl w:val="6010E3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1BB7"/>
    <w:rsid w:val="002D4DE1"/>
    <w:rsid w:val="003C2ABB"/>
    <w:rsid w:val="004308FE"/>
    <w:rsid w:val="004A4E57"/>
    <w:rsid w:val="007515C0"/>
    <w:rsid w:val="007C1BB7"/>
    <w:rsid w:val="0096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1B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1BB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C1B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FranklinGothicDemi">
    <w:name w:val="Body text (2) + Franklin Gothic Demi"/>
    <w:basedOn w:val="Bodytext2"/>
    <w:rsid w:val="007C1BB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,Spacing 1 pt"/>
    <w:basedOn w:val="Bodytext2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C1BB7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7C1BB7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C1B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C1BB7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2018-01-15T07:41:00Z</dcterms:created>
  <dcterms:modified xsi:type="dcterms:W3CDTF">2018-10-02T08:01:00Z</dcterms:modified>
</cp:coreProperties>
</file>