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E1" w:rsidRPr="00710DE1" w:rsidRDefault="00710DE1" w:rsidP="00710DE1">
      <w:pPr>
        <w:pStyle w:val="30"/>
        <w:shd w:val="clear" w:color="auto" w:fill="auto"/>
        <w:spacing w:line="240" w:lineRule="auto"/>
        <w:ind w:left="20"/>
        <w:jc w:val="right"/>
        <w:rPr>
          <w:rStyle w:val="3TimesNewRoman15pt2pt"/>
          <w:rFonts w:ascii="Sylfaen" w:eastAsia="Constantia" w:hAnsi="Sylfaen"/>
          <w:bCs/>
          <w:spacing w:val="0"/>
          <w:sz w:val="24"/>
          <w:szCs w:val="24"/>
        </w:rPr>
      </w:pPr>
      <w:bookmarkStart w:id="0" w:name="_GoBack"/>
      <w:bookmarkEnd w:id="0"/>
      <w:r w:rsidRPr="00710DE1">
        <w:rPr>
          <w:rStyle w:val="3TimesNewRoman15pt2pt"/>
          <w:rFonts w:ascii="Sylfaen" w:eastAsia="Constantia" w:hAnsi="Sylfaen"/>
          <w:bCs/>
          <w:spacing w:val="0"/>
          <w:sz w:val="24"/>
          <w:szCs w:val="24"/>
        </w:rPr>
        <w:t>Проект</w:t>
      </w:r>
    </w:p>
    <w:p w:rsidR="00710DE1" w:rsidRDefault="00710DE1" w:rsidP="00710DE1">
      <w:pPr>
        <w:pStyle w:val="30"/>
        <w:shd w:val="clear" w:color="auto" w:fill="auto"/>
        <w:spacing w:line="240" w:lineRule="auto"/>
        <w:ind w:left="20"/>
        <w:rPr>
          <w:rStyle w:val="3TimesNewRoman15pt2pt"/>
          <w:rFonts w:ascii="Sylfaen" w:eastAsia="Constantia" w:hAnsi="Sylfaen"/>
          <w:b/>
          <w:bCs/>
          <w:spacing w:val="0"/>
          <w:sz w:val="24"/>
          <w:szCs w:val="24"/>
        </w:rPr>
      </w:pPr>
    </w:p>
    <w:p w:rsidR="00861173" w:rsidRPr="00710DE1" w:rsidRDefault="00710DE1" w:rsidP="00710DE1">
      <w:pPr>
        <w:pStyle w:val="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710DE1">
        <w:rPr>
          <w:rStyle w:val="3TimesNewRoman15pt2pt"/>
          <w:rFonts w:ascii="Sylfaen" w:eastAsia="Constantia" w:hAnsi="Sylfaen"/>
          <w:b/>
          <w:bCs/>
          <w:spacing w:val="0"/>
          <w:sz w:val="24"/>
          <w:szCs w:val="24"/>
        </w:rPr>
        <w:t>СОГЛАШЕНИЕ</w:t>
      </w:r>
    </w:p>
    <w:p w:rsidR="00861173" w:rsidRDefault="00710DE1" w:rsidP="00710DE1">
      <w:pPr>
        <w:pStyle w:val="30"/>
        <w:shd w:val="clear" w:color="auto" w:fill="auto"/>
        <w:spacing w:line="240" w:lineRule="auto"/>
        <w:ind w:left="567" w:right="559"/>
        <w:rPr>
          <w:rStyle w:val="3TimesNewRoman15pt"/>
          <w:rFonts w:ascii="Sylfaen" w:eastAsia="Constantia" w:hAnsi="Sylfaen"/>
          <w:b/>
          <w:bCs/>
          <w:sz w:val="24"/>
          <w:szCs w:val="24"/>
        </w:rPr>
      </w:pPr>
      <w:r w:rsidRPr="00710DE1">
        <w:rPr>
          <w:rStyle w:val="3TimesNewRoman15pt"/>
          <w:rFonts w:ascii="Sylfaen" w:eastAsia="Constantia" w:hAnsi="Sylfaen"/>
          <w:b/>
          <w:bCs/>
          <w:sz w:val="24"/>
          <w:szCs w:val="24"/>
        </w:rPr>
        <w:t>о порядке добровольного согласования государствами -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</w:t>
      </w:r>
      <w:r>
        <w:rPr>
          <w:rStyle w:val="3TimesNewRoman15pt"/>
          <w:rFonts w:ascii="Sylfaen" w:eastAsia="Constantia" w:hAnsi="Sylfaen"/>
          <w:b/>
          <w:bCs/>
          <w:sz w:val="24"/>
          <w:szCs w:val="24"/>
        </w:rPr>
        <w:t>-</w:t>
      </w:r>
      <w:r w:rsidRPr="00710DE1">
        <w:rPr>
          <w:rStyle w:val="3TimesNewRoman15pt"/>
          <w:rFonts w:ascii="Sylfaen" w:eastAsia="Constantia" w:hAnsi="Sylfaen"/>
          <w:b/>
          <w:bCs/>
          <w:sz w:val="24"/>
          <w:szCs w:val="24"/>
        </w:rPr>
        <w:t>членами Евразийского экономического союза</w:t>
      </w:r>
      <w:r>
        <w:rPr>
          <w:rStyle w:val="3TimesNewRoman15pt"/>
          <w:rFonts w:ascii="Sylfaen" w:eastAsia="Constantia" w:hAnsi="Sylfaen"/>
          <w:b/>
          <w:bCs/>
          <w:sz w:val="24"/>
          <w:szCs w:val="24"/>
        </w:rPr>
        <w:t xml:space="preserve"> </w:t>
      </w:r>
      <w:r w:rsidRPr="00710DE1">
        <w:rPr>
          <w:rStyle w:val="3TimesNewRoman15pt"/>
          <w:rFonts w:ascii="Sylfaen" w:eastAsia="Constantia" w:hAnsi="Sylfaen"/>
          <w:b/>
          <w:bCs/>
          <w:sz w:val="24"/>
          <w:szCs w:val="24"/>
        </w:rPr>
        <w:t>специфических субсидий</w:t>
      </w:r>
    </w:p>
    <w:p w:rsidR="00710DE1" w:rsidRPr="00710DE1" w:rsidRDefault="00710DE1" w:rsidP="00710DE1">
      <w:pPr>
        <w:pStyle w:val="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Государства-члены Евразийского экономического союза, далее именуемые государствами-членами,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руководствуясь положениями Договора о Евразийском экономическом союзе от 29 мая 2014 года (далее - Договор),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 целях реализации положений статьи 93 Договора и Протокола о единых правилах предоставления промышленных субсидий (приложение № 28 к Договору) (далее - Протокол),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сознавая важность создания условий для функционирования и развития Евразийского экономического союза (далее - Союз), а также для развития промышленного производства,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 целях повышения прозрачности и предсказуемости оказания государствами-членами государственной поддержки промышленных секторов экономики,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выражая стремление обеспечить условия для создания транспарентной и предсказуемой среды в сфере предоставления государствами-членами специфических субсидий в отношении промышленных товаров в части, касающейся оценки реализуемых государствами-членами субсидий,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принимая во внимание общепризнанные принципы и нормы международного права,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следуя принципам, нормам и правилам Всемирной торговой организации,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согласились о нижеследующем:</w:t>
      </w: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left="4500" w:right="3720"/>
        <w:jc w:val="left"/>
        <w:rPr>
          <w:rFonts w:ascii="Sylfaen" w:hAnsi="Sylfaen"/>
          <w:sz w:val="24"/>
          <w:szCs w:val="24"/>
        </w:rPr>
      </w:pP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I. Общие положения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1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Предмет регулирования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Настоящее Соглашение регулирует вопросы взаимодействия</w:t>
      </w:r>
      <w:r w:rsidRPr="00710DE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10DE1">
        <w:rPr>
          <w:rFonts w:ascii="Sylfaen" w:hAnsi="Sylfaen"/>
          <w:sz w:val="24"/>
          <w:szCs w:val="24"/>
        </w:rPr>
        <w:t>между государствами-членами и Евразийской экономической</w:t>
      </w:r>
      <w:r w:rsidRPr="00710DE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10DE1">
        <w:rPr>
          <w:rFonts w:ascii="Sylfaen" w:hAnsi="Sylfaen"/>
          <w:sz w:val="24"/>
          <w:szCs w:val="24"/>
        </w:rPr>
        <w:t xml:space="preserve">комиссией (далее - Комиссия) в связи с предоставлением государствами-членами специфических </w:t>
      </w:r>
      <w:r w:rsidRPr="00710DE1">
        <w:rPr>
          <w:rFonts w:ascii="Sylfaen" w:hAnsi="Sylfaen"/>
          <w:sz w:val="24"/>
          <w:szCs w:val="24"/>
        </w:rPr>
        <w:lastRenderedPageBreak/>
        <w:t>субсидий в отношении</w:t>
      </w:r>
      <w:r w:rsidRPr="00710DE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10DE1">
        <w:rPr>
          <w:rFonts w:ascii="Sylfaen" w:hAnsi="Sylfaen"/>
          <w:sz w:val="24"/>
          <w:szCs w:val="24"/>
        </w:rPr>
        <w:t>промышленных товаров, определяет порядок добровольного</w:t>
      </w:r>
      <w:r w:rsidRPr="00710DE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10DE1">
        <w:rPr>
          <w:rFonts w:ascii="Sylfaen" w:hAnsi="Sylfaen"/>
          <w:sz w:val="24"/>
          <w:szCs w:val="24"/>
        </w:rPr>
        <w:t>согласования с Комиссией предоставления государствами-членами специфических субсидий (далее - согласование), а также проведения Комиссией разбирательств, связанных с предоставлением государствами-членами специфических субсидий.</w:t>
      </w: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2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Ответственный департамент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Функции, связанные с процедурой согласования, проведением разбирательства, связанного с предоставлением государством-членом специфической субсидии, осуществляются структурным подразделением Комиссии, к компетенции которого относятся вопросы обеспечения реализации промышленной политики и промышленных субсидий (далее - ответственный департамент).</w:t>
      </w: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left="4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3 Определения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«малозначимая субсидия» - субсидия, которая в силу своих малых размеров не может оказать существенное влияние на рынок Союза;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«совместный проект» - проект с участием государств-членов, направленный на углубление промышленного сотрудничества и кооперации и предусматривающий выполнение одного из следующих условий:</w:t>
      </w: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проведение совместных опытно-конструкторских работ;</w:t>
      </w: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создание предприятий (производственных линий);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развитие новых видов технологий и предоставление информации, относящейся к этим видам технологий;</w:t>
      </w: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формирование совместной инновационной инфраструктуры;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«уполномоченный орган» - орган (органы) исполнительной власти государства-члена, к полномочиям которого (которых) относятся вопросы, связанные с реализацией настоящего Соглашения.</w:t>
      </w: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Иные понятия, используемые в настоящем Соглашении, применяются в значениях, определенных Договором и международными договорами в рамках Союза.</w:t>
      </w: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II. Процедура согласования и принятие Комиссией решения о допустимости или недопустимости специфических субсидий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4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Процедура согласования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lastRenderedPageBreak/>
        <w:t>1. Государство-член вправе обратиться в Комиссию в целях согласования специфической субсидии посредством направления соответствующего заявления в порядке, предусмотренном статьей 5 настоящего Соглашения.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2. Согласование осуществляется на добровольной основе.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3. Государства-члены не применяют компенсирующие меры, предусмотренные пунктом 6 Протокола, к субсидиям, сроки, объемы и условия предоставления которых согласованы Комиссией.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4. Процедура согласования включает: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1) проведение ответственным департаментом в соответствии со статьей 7 настоящего Соглашения анализа специфической субсидии в целях установления соответствия или несоответствия специфической субсидии критериям, предусмотренным статьями 10 и 11 настоящего Соглашения (далее - анализ);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2) проведение консультаций в соответствии со статьей 8 настоящего Соглашения;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3) подготовка по результатам согласования заключения о соответствии или несоответствии специфической субсидии критериям, предусмотренным статьями 10 и 11 настоящего Соглашения (далее - заключение по результатам согласования).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5. В рамках процедуры согласования ответственным департаментом не проводится анализ на предмет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государств-членов вследствие предоставления одним из государств-членов специфической субсидии.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6. По итогам согласования Комиссией принимается решение о допустимости или недопустимости специфической субсидии в соответствии со статьей 9 настоящего Соглашения, за исключением случая, предусмотренного пунктом 4 статьи 9 настоящего Соглашения.</w:t>
      </w: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5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Рассмотрение Комиссией заявлений государств-членов о согласовании специфических субсидий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1. Согласование планируемой к предоставлению или предоставленной специфической субсидии осуществляется на основании направляемого в Комиссию заявления уполномоченного органа о согласовании специфической субсидии (далее - заявление). Ответственный департамент информирует уполномоченные органы других государств-членов о поступлении в Комиссию заявления в течение 5 рабочих дней с даты его регистрации в Комиссии.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2. В заявлении указывается следующая информация: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1) сведения об уполномоченном органе, направившем заявление;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lastRenderedPageBreak/>
        <w:t>2) сведения об уполномоченном органе (уполномоченной</w:t>
      </w:r>
      <w:r>
        <w:rPr>
          <w:rFonts w:ascii="Sylfaen" w:hAnsi="Sylfaen"/>
          <w:sz w:val="24"/>
          <w:szCs w:val="24"/>
        </w:rPr>
        <w:t xml:space="preserve"> </w:t>
      </w:r>
      <w:r w:rsidRPr="00710DE1">
        <w:rPr>
          <w:rFonts w:ascii="Sylfaen" w:hAnsi="Sylfaen"/>
          <w:sz w:val="24"/>
          <w:szCs w:val="24"/>
        </w:rPr>
        <w:t>государством-членом структуре), ответственном за реализацию субсидии;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3) сведения о нормативном правовом акте (проекте нормативного правового акта), предусматривающем предоставление специфической субсидии (реквизиты и наименование);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4) сведения, подтверждающие специфичность субсидии;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5) описание специфической субсидии, формы и целей ее предоставления;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6) сведения о потенциальном получателе и источнике финансирования;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7) сведения об отрасли промышленности и товаре (с указанием кода единой Товарной номенклатуры внешнеэкономической деятельности Евразийского экономического союза (далее ТН ВЭД ЕАЭС));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8) срок, на который предоставляется специфическая субсидия;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9) размер специфической субсидии;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10) сведения о влиянии специфической субсидии на внутренний рынок Союза.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3. Форма заявления и порядок ее заполнения утверждаются Советом Комиссии.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4. В случае представления уполномоченным органом, направившим заявление, документов и сведений, предусмотренных пунктом 2 настоящей статьи, в полном объеме ответственный департамент в срок, не превышающий 10 рабочих дней с даты регистрации в Комиссии заявления, принимает решение о начале процедуры согласования и направляет в уполномоченные органы соответствующее уведомление.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5. Уведомление о начале процедуры согласования должно содержать следующую информацию: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1) наименование государства-члена, подавшего заявление;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2) административно-территориальная единица государства-члена,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 которой планируется предоставление или предоставлена специфическая субсидия;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3) наименование уполномоченного органа, направившего заявление;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4) краткое описание специфической субсидии, сведения о целях ее предоставления и потенциальном получателе;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5) сведения о нормативном правовом акте (проекте нормативного правового акта), предусматривающем предоставление специфической субсидии (реквизиты и наименование);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6) сведения об отрасли промышленности и товаре (с указанием кода ТН ВЭД ЕАЭС);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7) срок, на который предоставляется специфическая субсидия;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lastRenderedPageBreak/>
        <w:t>8) размер специфической субсидии.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6. В случае непредставления уполномоченным органом, направившим заявление, документов и сведений, предусмотренных пунктом 2 настоящей статьи, в полном объеме ответственный департамент в срок, не превышающий 10 рабочих дней с даты регистрации в Комиссии заявления, запрашивает у этого уполномоченного органа недостающие документы и (или) сведения. Такой запрос считается полученным через 7 календарных дней с даты его отправки по почте.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Уполномоченный орган, направивший заявление, в срок, не превышающий 30 календарных дней с даты получения указанного запроса, представляет недостающие документы и (или) сведения.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 случае если уполномоченный орган, направивший заявление, в установленный срок не может представить запрашиваемые ответственным департаментом документы и (или) сведения, по мотивированной и изложенной в письменной форме просьбе этого уполномоченного органа указанный срок может быть продлен ответственным департаментом на 30 календарных дней.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Ответственный департамент в течение 5 рабочих дней с даты регистрации в Комиссии недостающих документов и (или) сведений принимает решение о начале процедуры согласования и уведомляет об этом уполномоченные органы.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Непредставление уполномоченным органом недостающих документов и (или) сведений в срок, установленный абзацем вторым настоящего пункта, либо в срок, установленный ответственным департаментом в соответствии с абзацем третьим настоящего пункта, является основанием для отклонения заявления. В таком случае ответственный департамент уведомляет об этом уполномоченный орган, направивший заявление.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7. Заявление может быть отозвано уполномоченным органом, направившим заявление, до принятия решения Коллегией Комиссии.</w:t>
      </w: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6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Отказ в проведении процедуры согласования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left="360" w:right="340" w:firstLine="720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1. Ответственный департамент отказывает в проведении процедуры согласования при наличии следующих оснований: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1) предоставление государством-членом специфической субсидии, являющейся предметом процедуры согласования, привело к материальному ущербу отрасли национальной экономики другого государства-члена или угрозе причинения материального ущерба отрасли национальной экономики другого государства-члена, доказанным в соответствии с разделом V Протокола или разделом IV настоящего Соглашения;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 xml:space="preserve">2) предоставление государством-членом специфической субсидии, являющейся предметом процедуры согласования, привело к серьезному ущемлению </w:t>
      </w:r>
      <w:r w:rsidRPr="00710DE1">
        <w:rPr>
          <w:rFonts w:ascii="Sylfaen" w:hAnsi="Sylfaen"/>
          <w:sz w:val="24"/>
          <w:szCs w:val="24"/>
        </w:rPr>
        <w:lastRenderedPageBreak/>
        <w:t>интересов любого из государств-членов, доказанному в соответствии с разделом V Протокола или разделом IV настоящего Соглашения;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3) специфическая субсидия, за согласованием которой обратился уполномоченный орган, является предметом расследования, предусмотренного разделом V Протокола, или предметом разбирательства, предусмотренного разделом IV настоящего Соглашения.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2. Ответственный департамент в течение 10 рабочих дней с даты регистрации в Комиссии заявления уведомляет об отказе в проведении процедуры согласования уполномоченный орган, направивший заявление, и другие уполномоченные органы.</w:t>
      </w: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7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Проведение анализа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1. После принятия решения о начале процедуры согласования ответственный департамент проводит анализ.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 ходе проведения анализа ответственный департамент обеспечивает проведение консультаций в соответствии со статьей 8 настоящего Соглашения.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2. Уполномоченные органы могут представлять в Комиссию дополнительную информацию, необходимую для проведения Комиссией анализа и принятия решения о допустимости или недопустимости специфической субсидии, в течение всего периода проведения процедуры согласования, в том числе по запросу ответственного департамента.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3. Срок проведения ответственным департаментом анализа и подготовки заключения по результатам согласования составляет 30 рабочих дней с даты направления ответственным департаментом в адрес уполномоченных органов уведомления о начале процедуры согласования.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4. По итогам проведения анализа ответственный департамент готовит заключение по результатам согласования (с изложением соответствующих доказательств и рекомендаций (при необходимости) в отношении нормативного правового акта (проекта нормативного правового акта), предусматривающего предоставление специфической субсидии).</w:t>
      </w: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8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Проведение консультаций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1. В рамках согласования уполномоченный орган вправе инициировать проведение консультаций на площадке Комиссии посредством направления в Комиссию соответствующего предложения. Ответственный департамент информирует об этом уполномоченные органы других государств-членов и обеспечивает проведение консультаций.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lastRenderedPageBreak/>
        <w:t>2. В случае отсутствия на консультациях представителя уполномоченного органа государства-заявителя консультации не проводятся.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Отсутствие на консультациях представителей уполномоченных органов других государств-членов, проинформированных о дате, месте и времени проведения консультаций, не является препятствием для проведения консультаций.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3. Представители уполномоченных органов в ходе проведения консультаций могут представить дополнительные информацию и пояснения, подтверждающие позицию соответствующих уполномоченных органов по рассматриваемому вопросу.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Позиция уполномоченного органа прикладывается к протоколу консультаций (в случае ее представления в Комиссию в течение 5 рабочих дней с даты проведения консультаций).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4. Протокол консультаций подписывается руководителем (заместителем руководителя) ответственного департамента и направляется уполномоченным органам в течение 7 рабочих дней с даты проведения консультаций.</w:t>
      </w: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9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Принятие решения о допустимости или недопустимости специфической субсидии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1. Решение о допустимости или недопустимости специфической субсидии принимается Коллегией Комиссии на основании заключения по результатам согласования.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2. В случае если специфическая субсидия подпадает под критерии, предусмотренные статьей 10 настоящего Соглашения, то Коллегией Комиссии принимается решение о недопустимости специфической субсидии.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3. В случае если специфическая субсидия не подпадает под критерии, предусмотренные статьей 10 настоящего Соглашения, и соответствует одному или нескольким критериям, предусмотренным статьей 11 настоящего Соглашения, то Коллегия Комиссии принимает решение о допустимости специфической субсидии.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4. В случае если специфическая субсидия не подпадает под критерии, предусмотренные статьей 10 настоящего Соглашения, и не соответствует ни одному критерию, предусмотренному статьей 11 настоящего Соглашения, член Коллегии Комиссии, курирующий вопросы промышленности, докладывает об этом на заседании Коллегии Комиссии и решение о допустимости или недопустимости такой субсидии не принимается.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 указанном случае при наличии письменного обращения уполномоченного органа, направившего заявление, ответственный департамент проводит анализ на предмет наличия угрозы причинения материального ущерба отрасли национальной экономики вследствие предоставления такой специфической субсидии.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Порядок проведения анализа, предусмотренного абзацем вторым настоящего пункта, устанавливается Советом Комиссии.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lastRenderedPageBreak/>
        <w:t>5. По результатам анализа, предусмотренного пунктом 4 настоящей статьи, вопрос об утверждении критерия допустимости или недопустимости специфической субсидии, в соответствии с которым Коллегия Комиссии принимает решение о допустимости или недопустимости специфической субсидии, указанной в пункте 4 настоящей статьи, вносится в установленном порядке для рассмотрения на заседании Евразийского межправительственного совета.</w:t>
      </w: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710DE1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710DE1">
        <w:rPr>
          <w:rFonts w:ascii="Sylfaen" w:hAnsi="Sylfaen"/>
          <w:sz w:val="24"/>
          <w:szCs w:val="24"/>
        </w:rPr>
        <w:t>Допустимость или недопустимость специфической субсидии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10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Критерии недопустимости специфической субсидии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1. Критерием недопустимости специфической субсидии является содержание в нормативном правовом акте (проекте нормативного правового акта), предусматривающем предоставление специфической субсидии, положений, свидетельствующих о наличии запрещенных субсидий, определенных пунктами 9, 11 и 14 Протокола.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2. Евразийским межправительственным советом могут быть определены иные критерии недопустимости специфических субсидий.</w:t>
      </w:r>
    </w:p>
    <w:p w:rsidR="00710DE1" w:rsidRDefault="00710DE1" w:rsidP="00710DE1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11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Критерии допустимости специфической субсидии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1. Специфическая субсидия является допустимой, если она соответствует одному или нескольким из следующих критериев: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1) специфическая субсидия является малозначимой (в размере 100 тыс. долларов на одного получателя (предприятие));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2) специфическая субсидия направлена на реализацию совместного проекта, в том числе в соответствии с основными направлениями промышленного сотрудничества в рамках Союза, утверждаемыми Евразийским межправительственным советом. Такие совместные проекты должны быть направлены на производство продукции, которая не производится или производится на таможенной территории Союза в недостаточном количестве;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3) специфическая субсидия направлена на проведение научно- исследовательских и опытно-конструкторских работ, в том числе совместных, с целью стимулирования высокотехнологических производств;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4) специфическая субсидия направлена на инновационную деятельность;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5) специфическая субсидия направлена на производство промышленного товара, не имеющего аналогов на таможенной территории Союза;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 xml:space="preserve">6) специфическая субсидия направлена на производство промышленного товара (код которого определен на уровне 10 знаков ТН ВЭД ЕАЭС), который </w:t>
      </w:r>
      <w:r w:rsidRPr="00710DE1">
        <w:rPr>
          <w:rFonts w:ascii="Sylfaen" w:hAnsi="Sylfaen"/>
          <w:sz w:val="24"/>
          <w:szCs w:val="24"/>
        </w:rPr>
        <w:lastRenderedPageBreak/>
        <w:t>производится на таможенной территории Союза в недостаточном количестве;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7) специфическая субсидия направлена на возмещение материального ущерба, причиненного стихийными бедствиями или какими-либо другими чрезвычайными происшествиями, в том размере, который необходим для восстановления причиненного ущерба;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8) специфическая субсидия направлена на оказание помощи предприятиям в оплате до половины стоимости консультационных услуг, услуг по организации участия в торговых ярмарках, проведения фундаментальных исследований (в том числе в крупных размерах), реализации прикладных промышленных разработок (до 70 процентов от их стоимости), затрат на получение лицензий и прав на промышленную собственность (в размере, равном расходам на проведение научно- исследовательской работы, результатом которой стало получение таких прав).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Среднесписочная численность работников таких предприятий устанавливается Советом Комиссии;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9) специфическая субсидия направлена на оказание помощи в повышении уровня профессиональной квалификации сотрудников предприятий: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субсидирование программ, целью которых является повышение общего уровня профессиональной подготовки сотрудников предприятий, в пределах 50 процентов от их стоимости для предприятий, среднесписочная численность работников которых за предшествующий календарный год превышает 250 человек, и в пределах 70 процентов - для предприятий, среднесписочная численность работников которых за предшествующий календарный год не превышает 250 человек;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10) специфическая субсидия направлена на оказание помощи предприятиям, находящимся в неустойчивом или кризисном финансовом состоянии и проводящим реструктуризацию.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Допускается субсидирование предприятий, доказавших свое неустойчивое или кризисное финансовое состояние.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Неустойчивое финансовое состояние характеризуется нарушением финансовой дисциплины (задержки в оплате труда, использование денежных средств из резервного фонда и т. д.), перебоями в поступлении денежных средств на расчетные счета предприятия и в платежах, нерегулярным поступлением выручки, прибыли.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Кризисное финансовое состояние характеризуется наряду с указанными в абзаце третьем настоящего подпункта признаками неустойчивого состояния наличием регулярных неплатежей (просроченных ссуд банков, задолженностей перед поставщиками за товарно-материальные ценности, недоимок по платежам в бюджеты и внебюджетные фонды).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Организации могут получать субсидии на восстановление финансовой устойчивости и реструктуризацию по истечении 3 лет с даты их государственной регистрации.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 xml:space="preserve">Собственный финансовый вклад предприятия в реструктуризацию должен </w:t>
      </w:r>
      <w:r w:rsidRPr="00710DE1">
        <w:rPr>
          <w:rFonts w:ascii="Sylfaen" w:hAnsi="Sylfaen"/>
          <w:sz w:val="24"/>
          <w:szCs w:val="24"/>
        </w:rPr>
        <w:lastRenderedPageBreak/>
        <w:t>составлять не менее 25 процентов, если иное не предусмотрено решением Совета Комиссии.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Такая субсидия может быть согласована на срок выхода предприятия из кризисного состояния на устойчивое состояние, но не более чем на 5 лет;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11) специфическая субсидия предоставляется на цели и на условиях, которые предусмотрены разделом VII Протокола;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12) специфическая субсидия направлена на оказание помощи предприятиям, находящимся на начальном периоде становления, если уровень субсидирования не превышает 30 процентов от общей суммы капиталовложений;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13) специфическая субсидия направлена на оказание помощи в целях адаптации существующих производственных мощностей к стандартам Союза: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возмещение затрат на проведение испытаний продукции в целях проведения оценки ее соответствия требованиям технических регламентов Союза;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возмещение затрат на строительство и модернизацию испытательных лабораторий;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 xml:space="preserve">14) специфическая субсидия направлена на оказание помощи в целях обеспечения соответствия промышленной продукции требованиям соответствующих международных стандартов или 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принятых на их основе межгосударственных стандартов, идентичных соответствующим международным стандартам;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15) специфическая субсидия предоставляется в отношении промышленного товара, признанного совместно произведенным государствами-членами в соответствии с порядком, определяемым Комиссией.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2. Условия применения критериев, указанных в подпунктах 1 - 4, 6 - 10, 12 и 15 пункта 1 настоящей статьи, устанавливаются Советом Комиссии.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3. Евразийским межправительственным советом могут быть определены иные критерии допустимости специфических субсидий.</w:t>
      </w:r>
    </w:p>
    <w:p w:rsidR="00B92335" w:rsidRDefault="00B92335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12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Порядок получения информации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1. Комиссия в соответствии с пунктом 6 статьи 93 Договора осуществляет мониторинг и проведение сравнительно-правового анализа законодательства государств-членов на предмет соответствия положениям Договора в отношении предоставления субсидий.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2. В целях осуществления мониторинга и проведения сравнительно-правового анализа законодательства государств-членов на предмет соответствия положениям Договора в отношении предоставления субсидий уполномоченные органы: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lastRenderedPageBreak/>
        <w:t>ежегодно, не позднее 1 июля года, следующего за отчетным, представляют в Комиссию уведомление о предоставленных специфических субсидиях, согласованных с Комиссией;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ежеквартально, не позднее 30-го числа месяца, следующего за отчетным кварталом, направляют в Комиссию и друг другу принятые</w:t>
      </w:r>
      <w:r w:rsidRPr="00710DE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10DE1">
        <w:rPr>
          <w:rFonts w:ascii="Sylfaen" w:hAnsi="Sylfaen"/>
          <w:sz w:val="24"/>
          <w:szCs w:val="24"/>
        </w:rPr>
        <w:t>в отчетном квартале нормативные правовые акты, предусматривающие предоставление специфических субсидий;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после проведения межведомственного согласования направляют в Комиссию и друг другу в порядке обязательного информирования проекты нормативных правовых актов, предусматривающих предоставление специфических субсидий производителям товаров, отнесенных к чувствительным товарам в соответствии с основными направлениями промышленного сотрудничества в рамках Союза, утверждаемыми Евразийским межправительственным советом.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По нормативным правовым актам, опубликованным в открытых источниках, уполномоченные органы направляют в Комиссию информацию, содержащую реквизиты и источники опубликования таких актов.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Нормативные правовые акты, предусматривающие предоставление специфических субсидий, не опубликованные в открытых источниках, направляются уполномоченными органами в Комиссию.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3. Комиссия в установленном порядке проводит сравнительно-правовой анализ нормативных правовых актов государств-членов, предусматривающих предоставление специфических субсидий, на предмет их соответствия статье 93 Договора и Протоколу.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4. В случае выявления факта непредоставления государством- членом в отчетном периоде согласованной с Комиссией специфической субсидии ответственный департамент уведомляет об этом государства- члены.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5. Государство-член вправе обратиться в Комиссию с предложением о проведении сравнительно-правового анализа нормативных правовых актов или проектов нормативных правовых актов обратившегося государства-члена, предусматривающих предоставление субсидий, на предмет их соответствия статье 93 Договора и Протоколу в порядке, определяемом Комиссией.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6. В уведомлении, предусмотренном абзацем вторым пункта 2 настоящей статьи, указывается следующая информация: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1) реквизиты решения Коллегии Комиссии о допустимости специфической субсидии;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2) критерии, на основании которых согласована специфическая субсидия;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3) наименование нормативного правового акта, в соответствии с которым предоставлена специфическая субсидия;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4) период, за который предоставляются сведения;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lastRenderedPageBreak/>
        <w:t>5) описание формы специфической субсидии и цели ее предоставления;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6) получатель и способ предоставления специфической субсидии;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7) размер и срок, на который предоставляется специфическая субсидия.</w:t>
      </w:r>
    </w:p>
    <w:p w:rsidR="00861173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7. Форма уведомления о предоставлении специфических субсидий, согласованных с Комиссией, а также порядок ее заполнения утверждаются Советом Комиссии.</w:t>
      </w:r>
    </w:p>
    <w:p w:rsidR="00B92335" w:rsidRDefault="00B92335" w:rsidP="00710DE1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IV. Проведение разбирательств по вопросам предоставления государствами-членами специфических субсидий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13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Основания для начала разбирательства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Государство-член может обратиться в Комиссию с заявлением о начале разбирательства по вопросам предоставления государствами-членами специфических субсидий при наличии следующих оснований: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причинение материального ущерба отрасли национальной экономики вследствие предоставления другим государством-членом специфической субсидии;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угроза причинения материального ущерба отрасли национальной экономики вследствие предоставления другим государством-членом специфической субсидии;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серьезное ущемление интересов государства-члена вследствие предоставления другим государством-членом специфической субсидии.</w:t>
      </w:r>
    </w:p>
    <w:p w:rsidR="00B92335" w:rsidRDefault="00B92335" w:rsidP="00710DE1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14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Принятие решения о начале разбирательства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1. Проведение разбирательства, указанного в статье 13 настоящего Соглашения, осуществляется Комиссией на основании заявления уполномоченного органа государства-члена о начале разбирательства, поданного в Комиссию в конфиденциальной или неконфиденциальной версиях (если в заявлении содержится конфиденциальная информация).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2. В заявлении о начале разбирательства указывается следующая информация: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1) наименование уполномоченного органа государства-заявителя;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2) наименование и описание товара;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3) перечень нормативных правовых актов, на основании которых предоставляется специфическая субсидия;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4) сведения о характере и размере специфической субсидии;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5) сведения о производителях субсидируемого товара;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lastRenderedPageBreak/>
        <w:t>6) сведения о национальных производителях аналогичного товара;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7) сведения об изменении объема ввоза субсидируемого товара на территорию государства-заявителя за 3 календарных года, предшествующих дате подачи заявления;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8) сведения об изменении объемов вывоза аналогичного товара с территории государства-заявителя на территории других государств- членов за 3 календарных года, предшествующих дате подачи заявления;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9) сведения о наличии и объеме производства товара на территории государства-заявителя (в количественном и стоимостном выражении) за 3 календарных года, предшествующих дате подачи заявления;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10) сведения о наличии производства аналогичного товара на территориях других государств-членов за 3 календарных года, предшествующих дате подачи заявления;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11) доказательства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государства-члена вследствие предоставления другим государством- членом специфической субсидии;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12) сведения об изменении объема импорта аналогичного товара на таможенную территорию Союза за 3 календарных года, предшествующих дате подачи заявления;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13) сведения об изменении объема экспорта аналогичного товара (в количественном и стоимостном выражении) с таможенной территории Союза за 3 календарных года, предшествующих дате подачи заявления;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14) анализ других факторов, которые могли оказать влияние на отрасль национальной экономики в анализируемый период;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15) выводы уполномоченного органа государства-заявителя, являющиеся основанием для начала разбирательства.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3. Сведения, представленные в заявлении о начале разбирательства, должны сопровождаться ссылкой на источник их получения.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4. Форма заявления о начале разбирательства, а также порядок ее заполнения утверждаются Советом Комиссии.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5. При указании стоимостных показателей, содержащихся в заявлении о начале разбирательства, в целях сопоставимости используется денежная единица, установленная Комиссией для ведения статистики внешней и взаимной торговли государств-членов.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6. Датой подачи заявления о начале разбирательства является дата его регистрации в Комиссии.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 xml:space="preserve">7. С даты регистрации в Комиссии заявления о начале разбирательства </w:t>
      </w:r>
      <w:r w:rsidRPr="00710DE1">
        <w:rPr>
          <w:rFonts w:ascii="Sylfaen" w:hAnsi="Sylfaen"/>
          <w:sz w:val="24"/>
          <w:szCs w:val="24"/>
        </w:rPr>
        <w:lastRenderedPageBreak/>
        <w:t>ответственный департамент в течение 3 рабочих дней уведомляет в письменной форме уполномоченный орган государства- члена, на территории которого предоставляется специфическая субсидия, о поступлении такого заявления.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8. Ответственный департамент изучает достаточность доказательств и сведений, содержащихся в заявлении.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 случае непредставления уполномоченным органом государства- заявителя полного перечня сведений, предусмотренных пунктом 2 настоящей статьи, ответственный департамент вправе запросить недостающие материалы и сведения в течение 5 рабочих дней с даты регистрации в Комиссии заявления о начале разбирательства.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Запрос на представление недостающих материалов и сведений считается полученным через 7 календарных дней с даты его отправки по почте.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Уполномоченный орган государства-заявителя представляет недостающие сведения в срок, не превышающий 15 рабочих дней с даты получения указанного запроса.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9. Непредставление или представление не в полном объеме сведений, предусмотренных пунктом 2 настоящей статьи, является основанием для отклонения заявления о начале разбирательства, о чем уполномоченный орган государства-заявителя и уполномоченный орган субсидирующего государства-члена уведомляются ответственным департаментом в срок, не превышающий 5 рабочих дней с даты принятия такого решения.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Решение об отклонении заявления о начале разбирательства принимается ответственным департаментом в срок, не превышающий 45 рабочих дней с даты регистрации заявления.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10. Решение об отказе в проведении разбирательства принимается в случае, если по результатам рассмотрения заявления выявлено, что сведения, предусмотренные пунктом 2 настоящей статьи, не свидетельствуют о наличии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государства-члена вследствие предоставления другим государством-членом специфической субсидии.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При принятии решения об отказе в проведении разбирательства ответственный департамент в письменной форме в срок не более 5 рабочих дней с даты принятия такого решения уведомляет уполномоченный орган государства-заявителя и уполномоченный орган субсидирующего государства-члена о причине отказа в проведении разбирательства.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11. Решение о начале разбирательства или об отказе в его проведении принимается ответственным департаментом в срок, не превышающий 45 рабочих дней с даты регистрации в Комиссии заявления.</w:t>
      </w:r>
    </w:p>
    <w:p w:rsidR="00B92335" w:rsidRDefault="00B92335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lastRenderedPageBreak/>
        <w:t>Статья 15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Проведение разбирательства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1. При принятии решения о начале разбирательства Комиссия в течение 5 рабочих дней с даты принятия такого решения направляет уведомление, предусмотренное статьей 17 настоящего Соглашения, в адрес уполномоченных органов.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2. Ответственный департамент в течение 5 рабочих дней с даты принятия решения о начале разбирательства направляет уполномоченному органу субсидирующего государства-члена копию заявления или его неконфиденциальную версию (в случае если в заявлении содержится конфиденциальная информация).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 xml:space="preserve">По запросу заинтересованного государства-члена ответственный департамент предоставляет ему копию заявления или его 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неконфиденциальную версию (в случае если в заявлении содержится конфиденциальная информация).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3. Заявление о начале разбирательства может быть отозвано государством-заявителем до начала разбирательства или в ходе его проведения.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Заявление считается неподанным, если оно отзывается до начала разбирательства.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 случае если заявление отзывается в ходе проведения разбирательства, разбирательство прекращается.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4. Срок проведения разбирательства не должен превышать 9 месяцев с даты принятия решения о начале разбирательства.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5. По итогам завершения разбирательства Комиссией в адрес уполномоченных органов направляется уведомление о завершении разбирательства с приложением заключения, предусмотренного статьей 21 настоящего Соглашения.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Дата уведомления является датой завершения разбирательства.</w:t>
      </w:r>
    </w:p>
    <w:p w:rsidR="00B92335" w:rsidRDefault="00B92335" w:rsidP="00710DE1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16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Проведение консультаций в рамках процедуры разбирательства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1. До принятия решения о начале разбирательства, а также на протяжении всего периода разбирательства Комиссией как инициативно, так и по предложению уполномоченного органа государства-заявителя или уполномоченного органа субсидирующего государства-члена могут быть проведены консультации на площадке Комиссии в целях уточнения фактических обстоятельств или достижения взаимоприемлемого решения.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2. Ответственный департамент информирует уполномоченные органы о проведении консультаций и обеспечивает их проведение.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lastRenderedPageBreak/>
        <w:t>3. В случае отсутствия на консультациях представителя уполномоченного органа государства-заявителя и (или) уполномоченного органа субсидирующего государства-члена консультации не проводятся.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Отсутствие на консультациях представителей уполномоченных органов других государств-членов, проинформированных о дате, месте и времени проведения консультаций, не является препятствием для их проведения.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4. Представители уполномоченных органов в ходе консультаций могут представить дополнительную информацию и пояснения, подтверждающие позицию уполномоченного органа по рассматриваемому вопросу.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Позиция уполномоченного органа, представленная в Комиссию по итогам консультаций в течение 5 рабочих дней с даты ее проведения, прикладывается к протоколу консультаций.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5. Протокол консультаций подписывается руководителем (заместителем руководителя) ответственного департамента и направляется уполномоченным органам не позднее 7 рабочих дней с даты проведения консультаций.</w:t>
      </w:r>
    </w:p>
    <w:p w:rsidR="00B92335" w:rsidRDefault="00B92335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17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Уведомление о проведении разбирательства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Уведомление о начале проведения разбирательства должно содержать следующую информацию: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наименование уполномоченного органа государства-заявителя;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наименование и описание товара (с указанием кода ТН ВЭД ЕАЭС);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краткое изложение оснований для обращения в Комиссию о проведении разбирательства;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электронный адрес, по которому уполномоченные органы других государств-членов могут направлять свои комментарии и информацию, относящиеся к разбирательству.</w:t>
      </w:r>
    </w:p>
    <w:p w:rsidR="00B92335" w:rsidRDefault="00B92335" w:rsidP="00710DE1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18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Сбор информации в ходе разбирательства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1. После принятия решения о начале разбирательства ответственный департамент направляет перечень вопросов (далее в настоящей статье - перечень вопросов) в уполномоченный орган субсидирующего государства-члена и уполномоченный орган государства-заявителя.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Перечень вопросов по запросу Комиссии направляется уполномоченным органом производителям субсидируемого товара или аналогичного товара (согласно перечню производителей,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lastRenderedPageBreak/>
        <w:t>сформированному Комиссией).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Перечень вопросов считается полученным через 7 календарных дней с даты его отправки по почте.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2. Уполномоченные органы государства-заявителя и субсидирующего государства-члена, которым был направлен перечень вопросов, представляют ответы в Комиссию в срок, не превышающий 45 календарных дней с даты получения ими перечня вопросов.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Уполномоченные органы государства-заявителя</w:t>
      </w:r>
      <w:r w:rsidRPr="00710DE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10DE1">
        <w:rPr>
          <w:rFonts w:ascii="Sylfaen" w:hAnsi="Sylfaen"/>
          <w:sz w:val="24"/>
          <w:szCs w:val="24"/>
        </w:rPr>
        <w:t>и субсидирующего государства-члена, которым был направлен перечень</w:t>
      </w:r>
      <w:r w:rsidRPr="00710DE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10DE1">
        <w:rPr>
          <w:rFonts w:ascii="Sylfaen" w:hAnsi="Sylfaen"/>
          <w:sz w:val="24"/>
          <w:szCs w:val="24"/>
        </w:rPr>
        <w:t>вопросов, обеспечивают представление в Комиссию ответов производителей субсидируемого товара или аналогичного товара в срок, не превышающий 60 календарных дней с даты получения ими перечня вопросов.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 случае невозможности представления уполномоченными органами информации по отдельным вопросам перечня вопросов соответствующее обоснование направляется в Комиссию.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3. Комиссия после получения ответов по отдельным вопросам перечня вопросов может направить запрос в уполномоченные органы в целях уточнения информации или получения дополнительных сведений, необходимых для проведения разбирательства. Срок представления уполномоченными органами государства-заявителя и субсидирующего государства-члена указанной информации, в том числе полученной от производителей субсидируемого товара или аналогичного товара, не может превышать 15 календарных дней с даты получения ими запроса Комиссии.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4. Информация представляется в Комиссию на русском языке. Документы, которые составлены на государственном языке государства-члена, сопровождаются переводом на русский язык.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5. В ходе проведения разбирательства Комиссия вправе направить в органы государственной власти государства-заявителя и субсидирующего государства-члена запросы о представлении информации, необходимой для проведения разбирательства.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Органы государственной власти государства-заявителя и субсидирующего государства-члена направляют в Комиссию информацию, необходимую для проведения разбирательства, в течение 30 календарных дней с даты получения ими запроса Комиссии.</w:t>
      </w:r>
    </w:p>
    <w:p w:rsidR="00B92335" w:rsidRDefault="00B92335" w:rsidP="00710DE1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19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Участие в разбирательстве заинтересованных государств-членов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 xml:space="preserve">1. Уполномоченные органы других государств-членов вправе в срок, не превышающий 15 календарных дней с даты принятия решения о начале </w:t>
      </w:r>
      <w:r w:rsidRPr="00710DE1">
        <w:rPr>
          <w:rFonts w:ascii="Sylfaen" w:hAnsi="Sylfaen"/>
          <w:sz w:val="24"/>
          <w:szCs w:val="24"/>
        </w:rPr>
        <w:lastRenderedPageBreak/>
        <w:t>разбирательства, направить в Комиссию заявление о намерении участвовать в разбирательстве в качестве заинтересованной стороны (далее - заинтересованная сторона).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Комментарии и информация, относящиеся к разбирательству, представляются заинтересованной стороной в Комиссию в срок, не превышающий 30 календарных дней с даты регистрации в Комиссии заявления о намерении участвовать в разбирательстве.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Заинтересованные стороны, представляющие конфиденциальную информацию в Комиссию, представляют также неконфиденциальную версию такой информации.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Неконфиденциальная версия должна содержать подробные сведения, необходимые для понимания существа конфиденциальной информации.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2. Ответственный департамент вправе запрашивать у заинтересованной стороны дополнительную информацию, необходимую для проведения разбирательства. Срок представления заинтересованной стороной указанной информации не может превышать 15 календарных дней с даты получения ею соответствующего запроса Комиссии.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Запрос считается полученным через 7 календарных дней с даты его отправки заинтересованной стороне по почте.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Дополнительная информация, представленная заинтересованной стороной по истечении указанного срока, может не приниматься во внимание ответственным департаментом.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По мотивированной и изложенной в письменной форме просьбе заинтересованной стороны срок представления дополнительной информации может быть продлен ответственным департаментом на 30 календарных дней.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3. В ходе разбирательства Комиссия предоставляет заинтересованным сторонам по их запросу возможность ознакомления с информацией, относящейся к предмету разбирательства (за исключением конфиденциальной информации).</w:t>
      </w:r>
    </w:p>
    <w:p w:rsidR="00B92335" w:rsidRDefault="00B92335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20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Определение материального ущерба или угрозы причинения материального ущерба отрасли национальной экономики или серьезного ущемления интересов государства-члена вследствие предоставления специфической субсидии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1. Материальный ущерб отрасли национальной экономики вследствие ввоза субсидируемого товара устанавливается на основе результатов анализа объема ввоза фактически субсидируемого товара и влияния такого ввоза на цены аналогичного товара на рынке государства-заявителя и отрасль национальной экономики.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 xml:space="preserve">2. Период, за который анализируются сведения в целях определения наличия материального ущерба отрасли национальной экономики или угрозы причинения материального ущерба отрасли национальной экономики, определяется Комиссией </w:t>
      </w:r>
      <w:r w:rsidRPr="00710DE1">
        <w:rPr>
          <w:rFonts w:ascii="Sylfaen" w:hAnsi="Sylfaen"/>
          <w:sz w:val="24"/>
          <w:szCs w:val="24"/>
        </w:rPr>
        <w:lastRenderedPageBreak/>
        <w:t>и не может составлять менее 3 лет, предшествующих дате подачи заявления.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3. При анализе объема ввоза фактически субсидируемого товара определяется, произошло ли существенное увеличение ввоза субсидируемого товара (в абсолютных показателях либо относительно производства или потребления аналогичного товара в государстве- заявителе).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При анализе воздействия ввоза субсидируемого товара на цены аналогичного товара на рынке государства-заявителя устанавливаются: были ли цены субсидируемого товара значительно ниже цен аналогичного товара на рынке государства-заявителя;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привел ли ввоз субсидируемого товара к значительному снижению цен аналогичного товара на рынке государства-заявителя;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препятствовал ли ввоз субсидируемого товара росту цен на аналогичный товар на рынке государства-заявителя, который имел бы место в случае отсутствия такого ввоза.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Анализ воздействия ввоза субсидируемого товара на отрасль национальной экономики заключается в оценке всех экономических факторов, имеющих отношение к состоянию отрасли национальной экономики, в том числе: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произошедшее или возможное в будущем сокращение производства, продажи товара, доли товара на национальном рынке, прибыли, производительности, доходов от привлеченных инвестиций или использования производственных мощностей;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факторы, влияющие на цены аналогичного товара на рынке государства-заявителя;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 xml:space="preserve">произошедшее или возможное в будущем негативное влияние на движение денежных потоков, запасы товара, уровень занятости, 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заработную плату, темпы роста производства и возможность привлечения инвестиций.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4. Воздействие ввоза субсидируемого товара на отрасль национальной экономики оценивается применительно к производству аналогичного товара в государстве-заявителе, если имеющиеся данные позволяют выделить производство аналогичного товара в этом государстве-члене на основе таких критериев, как производственный процесс, продажа товара его производителями и прибыль.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 случае если имеющиеся данные не позволяют выделить производство аналогичного товара, воздействие ввоза субсидируемого товара на отрасль национальной экономики оценивается применительно к производству наиболее узкой группы или номенклатуры товаров, которые включают в себя аналогичный товар и о которых имеются необходимые данные.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5. При установлении угрозы причинения материального ущерба отрасли национальной экономики вследствие ввоза субсидируемого товара Комиссия учитывает все имеющиеся факторы, в том числе следующие: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lastRenderedPageBreak/>
        <w:t>характер, размер субсидии (субсидий) и ее возможное воздействие на торговлю;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темпы роста ввоза субсидируемого товара, свидетельствующие о реальной возможности дальнейшего увеличения такого ввоза;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наличие у производителей субсидируемого товара в субсидирующем государстве-члене достаточных возможностей увеличения ввоза субсидируемого товара на территории других государств-членов или угроза увеличения такого ввоза;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уровень цен субсидируемого товара, если такой уровень цен может привести к снижению или сдерживанию роста цены аналогичного товара на рынке государства-заявителя и к дальнейшему росту спроса на субсидируемый товар;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запасы субсидируемого товара у производителя.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При этом указанные факторы не могут иметь решающего значения для установления угрозы причинения материального ущерба отрасли национальной экономики вследствие ввоза субсидируемого товара.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6. Решение о наличии угрозы причинения материального ущерба отрасли национальной экономики принимается в случае, если в ходе расследования по результатам анализа факторов, указанных в пунктах 1 - 5 настоящей статьи, Комиссия пришла к заключению о неотвратимости продолжения ввоза субсидируемого товара на территорию государства-заявителя и причинения таким ввозом ущерба отрасли национальной экономики.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7. Факт вытеснения аналогичного товара с рынка субсидирующего государства-члена либо с рынка другого государства-члена, или сдерживания роста ввоза аналогичного товара на территорию субсидирующего государства-члена, или сдерживания роста вывоза товара на территорию другого государства-члена устанавливается в случае, если доказано, что имело место неблагоприятное изменение доли аналогичного товара на рынке субсидирующего государства-члена либо на рынке другого государства-члена относительно субсидируемого товара. Указанный факт устанавливается за период, достаточный для доказательства четких тенденций в развитии рынка соответствующего товара, который в обычных условиях должен составлять не менее 1 года.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8. Неблагоприятное изменение доли аналогичного товара на рынке субсидирующего государства-члена либо на рынке другого государства- члена включает в себя одну из следующих ситуаций: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1) рыночная доля субсидируемого товара увеличивается;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2) рыночная доля субсидируемого товара остается неизменной в обстоятельствах, при которых в отсутствие специфической субсидии она должна была уменьшаться;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3) рыночная доля субсидируемого товара падает, но более медленными темпами, чем это происходило бы в случае отсутствия специфической субсидии.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 xml:space="preserve">9. Занижение цен устанавливается на основе сопоставления цен </w:t>
      </w:r>
      <w:r w:rsidRPr="00710DE1">
        <w:rPr>
          <w:rFonts w:ascii="Sylfaen" w:hAnsi="Sylfaen"/>
          <w:sz w:val="24"/>
          <w:szCs w:val="24"/>
        </w:rPr>
        <w:lastRenderedPageBreak/>
        <w:t>субсидируемого товара на соответствующем рынке с ценами товара, при производстве, транспортировке или вывозе на территорию любого из государств-членов которого не использовалась специфическая субсидия. Сопоставление цен производится на одном и том же уровне торговли и за сравнимые периоды времени. В ходе сопоставления цен учитываются любые факторы, влияющие на сопоставимость. В случае если указанное сопоставление цен произвести невозможно, наличие занижения цен может быть установлено на основе средних экспортных цен.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10. Факт наличия серьезного ущемления интересов не может быть установлен при наличии в течение соответствующего периода времени одного из следующих обстоятельств: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1) наличие запрета или ограничений вывоза товара с территории государства-члена, устанавливающего факт наличия серьезного ущемления интересов, либо запрета или ограничений ввоза товара с территории такого государства на рынок другого государства-члена;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2) принятие уполномоченным органом государства-члена, которое ввозит аналогичный товар и практикует монополию торговли или государственную торговлю этим товаром, решения по некоммерческим причинам переориентировать ввоз товара с территории государства- члена, устанавливающего факт наличия серьезного ущемления интересов, на ввоз из другого государства-члена;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3) стихийные бедствия, забастовки, перебои на транспорте или другие форс-мажорные обстоятельства, оказывающие серьезное негативное воздействие на производство, качество, количество или цену товара, предназначенного для вывоза с территории государства-члена, устанавливающего факт наличия серьезного ущемления интересов;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4) наличие договоренностей, ограничивающих вывоз товара с территории государства-члена, устанавливающего факт наличия серьезного ущемления интересов;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5) добровольное сокращение возможности вывоза промышленного товара с территории государства-члена, устанавливающего факт наличия серьезного ущемления интересов (включая ситуацию, когда хозяйствующие субъекты этого государства-члена автономно переориентировали экспорт аналогичного товара на новые рынки);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6) несоответствие стандартам и (или) другим административным требованиям в государстве-члене, на территорию которого ввозится товар.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11. Вывод о наличии причинно-следственной связи между ввозом субсидируемого товара и материальным ущербом отрасли национальной экономики должен основываться на анализе всех доказательств и сведений, относящихся к разбирательству и имеющихся в распоряжении у Комиссии.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 xml:space="preserve">12. Ответственный департамент в ходе проведения разбирательства помимо ввоза субсидируемого товара анализирует также другие известные факторы, </w:t>
      </w:r>
      <w:r w:rsidRPr="00710DE1">
        <w:rPr>
          <w:rFonts w:ascii="Sylfaen" w:hAnsi="Sylfaen"/>
          <w:sz w:val="24"/>
          <w:szCs w:val="24"/>
        </w:rPr>
        <w:lastRenderedPageBreak/>
        <w:t>вследствие которых в тот же период причиняется материальный ущерб отрасли национальной экономики.</w:t>
      </w:r>
    </w:p>
    <w:p w:rsidR="00B92335" w:rsidRDefault="00B92335" w:rsidP="00710DE1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21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Принятие решения по итогам разбирательства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1. По итогам разбирательства ответственный департамент готовит одно из следующих заключений: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заключение о наличии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государства-заявителя в результате предоставления другим государством-членом специфической субсидии;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заключение об отсутствии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государства-заявителя в результате предоставления другим государством-членом специфической субсидии.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2. Заключение, указанное в пункте 1 настоящей статьи, подписывается руководителем (заместителем руководителя) ответственного департамента, утверждается членом Коллегии Комиссии, к компетенции которого относятся вопросы промышленности, и включается в комплект документов и материалов, подготовленных к рассмотрению на заседании Коллегии Комиссии.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3. По итогам разбирательства на основании заключения Коллегия Комиссии может вынести решение об устранении или изменении в установленный срок условий, порядка предоставления и (или) использования специфической субсидии, приводящей к причинению материального ущерба отрасли национальной экономики, угрозе причинения материального ущерба отрасли национальной экономики или серьезному ущемлению интересов государства-заявителя.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 случае если государство-член указывает, что направляемая им в ходе разбирательства информация относится к информации ограниченного распространения, то решения (проекты решений) Комиссии по итогам разбирательства, проводимого с использованием такой информации, публикуются с учетом статьи 111 Договора.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4. В случае если по итогам разбирательства, проведенного в соответствии со статьей 15 настоящего Соглашения, Комиссией подтверждается наличие материального ущерба отрасли национальной экономики одного из государств-членов, угрозы причинения материального ущерба отрасли национальной экономики или серьезного ущемления его интересов вследствие предоставления другим государством-членом специфической субсидии, то уполномоченный орган такого государства может передать уполномоченному органу субсидирующего государства-члена заявление о применении компенсирующей меры, за исключением согласованных специфических субсидий.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lastRenderedPageBreak/>
        <w:t>В отношении согласованных специфических субсидий в случае принятия Коллегией Комиссии решения, предусмотренного пунктом 3 настоящей статьи, уполномоченный орган субсидирующего государства-члена прекращает предоставление указанных субсидий с даты принятия такого решения.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Введение компенсирующей меры осуществляется в соответствии с Протоколом.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5. Решение Коллегии Комиссии, предусмотренное пунктом 3 настоящей статьи, не принимается, если после завершения разбирательства и до принятия решения государства-члены, участвующие в разбирательстве, достигли договоренности с учетом положений абзаца пятого пункта 6 Протокола.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6. Если государство-член, в отношении которого принято решение Коллегии Комиссии, указанное в пункте 3 настоящей статьи, не исполняет его, то другие государства-члены вправе обратиться в Суд Союза.</w:t>
      </w:r>
    </w:p>
    <w:p w:rsidR="00B92335" w:rsidRDefault="00B92335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22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Конфиденциальная информация</w:t>
      </w:r>
    </w:p>
    <w:p w:rsidR="00861173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 отношении информации, предоставленной государством-членом в Комиссию в рамках реализации настоящего Соглашения и отнесенной в соответствии с законодательством государства-члена к конфиденциальной (включая коммерческую, налоговую и другую конфиденциальную информацию), Комиссией обеспечивается в установленном порядке надлежащий уровень защиты.</w:t>
      </w:r>
    </w:p>
    <w:p w:rsidR="00B92335" w:rsidRDefault="00B92335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V. Заключительные положения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23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Информация об уполномоченных органах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Государства-члены в течение 3 месяцев с даты вступления настоящего Соглашения в силу информируют Комиссию об уполномоченных органах.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Государства-члены обеспечивают актуализацию направляемой в Комиссию информации об уполномоченных органах.</w:t>
      </w:r>
    </w:p>
    <w:p w:rsidR="00B92335" w:rsidRDefault="00B92335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24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Разрешение споров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Споры, связанные с толкованием и (или) применением настоящего Соглашения, разрешаются в порядке, определенном Договором.</w:t>
      </w:r>
    </w:p>
    <w:p w:rsidR="00B92335" w:rsidRDefault="00B92335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25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Внесение изменений и дополнений</w:t>
      </w:r>
    </w:p>
    <w:p w:rsidR="00861173" w:rsidRPr="00710DE1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lastRenderedPageBreak/>
        <w:t>По взаимному согласию государств-членов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p w:rsidR="00B92335" w:rsidRDefault="00B92335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Статья 26</w:t>
      </w:r>
    </w:p>
    <w:p w:rsidR="00861173" w:rsidRPr="00710DE1" w:rsidRDefault="00710DE1" w:rsidP="00710DE1">
      <w:pPr>
        <w:pStyle w:val="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>Вступление Соглашения в силу</w:t>
      </w:r>
    </w:p>
    <w:p w:rsidR="00861173" w:rsidRPr="00B92335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0DE1">
        <w:rPr>
          <w:rFonts w:ascii="Sylfaen" w:hAnsi="Sylfaen"/>
          <w:sz w:val="24"/>
          <w:szCs w:val="24"/>
        </w:rPr>
        <w:t xml:space="preserve">Настоящее Соглашение вступает в силу с даты получения </w:t>
      </w:r>
      <w:r w:rsidRPr="00B92335">
        <w:rPr>
          <w:rFonts w:ascii="Sylfaen" w:hAnsi="Sylfaen"/>
          <w:sz w:val="24"/>
          <w:szCs w:val="24"/>
        </w:rPr>
        <w:t>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p w:rsidR="00861173" w:rsidRPr="00B92335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92335">
        <w:rPr>
          <w:rFonts w:ascii="Sylfaen" w:hAnsi="Sylfaen"/>
          <w:sz w:val="24"/>
          <w:szCs w:val="24"/>
        </w:rPr>
        <w:t>Настоящее Соглашение является международным договором, заключенным в рамках Союза, и входит в право Союза.</w:t>
      </w:r>
    </w:p>
    <w:p w:rsidR="00B92335" w:rsidRDefault="00B92335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861173" w:rsidRPr="00B92335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92335">
        <w:rPr>
          <w:rFonts w:ascii="Sylfaen" w:hAnsi="Sylfaen"/>
          <w:sz w:val="24"/>
          <w:szCs w:val="24"/>
        </w:rPr>
        <w:t>Совершено в городе _____________ «_____»</w:t>
      </w:r>
      <w:r w:rsidR="00B92335">
        <w:rPr>
          <w:rFonts w:ascii="Sylfaen" w:hAnsi="Sylfaen"/>
          <w:sz w:val="24"/>
          <w:szCs w:val="24"/>
        </w:rPr>
        <w:t xml:space="preserve"> </w:t>
      </w:r>
      <w:r w:rsidRPr="00B92335">
        <w:rPr>
          <w:rFonts w:ascii="Sylfaen" w:hAnsi="Sylfaen"/>
          <w:sz w:val="24"/>
          <w:szCs w:val="24"/>
        </w:rPr>
        <w:t>___________ 20</w:t>
      </w:r>
      <w:r w:rsidR="00B92335">
        <w:rPr>
          <w:rFonts w:ascii="Sylfaen" w:hAnsi="Sylfaen"/>
          <w:sz w:val="24"/>
          <w:szCs w:val="24"/>
        </w:rPr>
        <w:t xml:space="preserve"> </w:t>
      </w:r>
      <w:r w:rsidRPr="00B92335">
        <w:rPr>
          <w:rFonts w:ascii="Sylfaen" w:hAnsi="Sylfaen"/>
          <w:sz w:val="24"/>
          <w:szCs w:val="24"/>
        </w:rPr>
        <w:t>_____ года в одном подлинном экземпляре на русском языке.</w:t>
      </w:r>
    </w:p>
    <w:p w:rsidR="00861173" w:rsidRDefault="00710DE1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92335">
        <w:rPr>
          <w:rFonts w:ascii="Sylfaen" w:hAnsi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B92335" w:rsidRPr="00B92335" w:rsidRDefault="00B92335" w:rsidP="00B9233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2225"/>
        <w:gridCol w:w="2070"/>
        <w:gridCol w:w="2297"/>
        <w:gridCol w:w="2027"/>
      </w:tblGrid>
      <w:tr w:rsidR="00861173" w:rsidRPr="00710DE1" w:rsidTr="00B92335">
        <w:trPr>
          <w:jc w:val="center"/>
        </w:trPr>
        <w:tc>
          <w:tcPr>
            <w:tcW w:w="1994" w:type="dxa"/>
            <w:shd w:val="clear" w:color="auto" w:fill="FFFFFF"/>
            <w:vAlign w:val="center"/>
          </w:tcPr>
          <w:p w:rsidR="00861173" w:rsidRPr="00710DE1" w:rsidRDefault="00710DE1" w:rsidP="00B9233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10DE1">
              <w:rPr>
                <w:rStyle w:val="212pt"/>
                <w:rFonts w:ascii="Sylfaen" w:hAnsi="Sylfaen"/>
              </w:rPr>
              <w:t>За Республику Армения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861173" w:rsidRPr="00710DE1" w:rsidRDefault="00710DE1" w:rsidP="00B9233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10DE1">
              <w:rPr>
                <w:rStyle w:val="212pt"/>
                <w:rFonts w:ascii="Sylfaen" w:hAnsi="Sylfaen"/>
              </w:rPr>
              <w:t>За Республику Беларусь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61173" w:rsidRPr="00710DE1" w:rsidRDefault="00710DE1" w:rsidP="00B9233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10DE1">
              <w:rPr>
                <w:rStyle w:val="212pt"/>
                <w:rFonts w:ascii="Sylfaen" w:hAnsi="Sylfaen"/>
              </w:rPr>
              <w:t>За Республику Казахстан</w:t>
            </w:r>
          </w:p>
        </w:tc>
        <w:tc>
          <w:tcPr>
            <w:tcW w:w="2297" w:type="dxa"/>
            <w:shd w:val="clear" w:color="auto" w:fill="FFFFFF"/>
            <w:vAlign w:val="center"/>
          </w:tcPr>
          <w:p w:rsidR="00861173" w:rsidRPr="00710DE1" w:rsidRDefault="00710DE1" w:rsidP="00B9233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10DE1">
              <w:rPr>
                <w:rStyle w:val="212pt"/>
                <w:rFonts w:ascii="Sylfaen" w:hAnsi="Sylfaen"/>
              </w:rPr>
              <w:t>За Кыргызскую Республику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861173" w:rsidRPr="00710DE1" w:rsidRDefault="00710DE1" w:rsidP="00B9233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10DE1">
              <w:rPr>
                <w:rStyle w:val="212pt"/>
                <w:rFonts w:ascii="Sylfaen" w:hAnsi="Sylfaen"/>
              </w:rPr>
              <w:t>За Российскую Федерацию</w:t>
            </w:r>
          </w:p>
        </w:tc>
      </w:tr>
    </w:tbl>
    <w:p w:rsidR="00861173" w:rsidRPr="00710DE1" w:rsidRDefault="00861173" w:rsidP="00710DE1">
      <w:pPr>
        <w:spacing w:after="120"/>
      </w:pPr>
    </w:p>
    <w:sectPr w:rsidR="00861173" w:rsidRPr="00710DE1" w:rsidSect="00710DE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6DA" w:rsidRDefault="003646DA" w:rsidP="00861173">
      <w:r>
        <w:separator/>
      </w:r>
    </w:p>
  </w:endnote>
  <w:endnote w:type="continuationSeparator" w:id="0">
    <w:p w:rsidR="003646DA" w:rsidRDefault="003646DA" w:rsidP="0086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6DA" w:rsidRDefault="003646DA"/>
  </w:footnote>
  <w:footnote w:type="continuationSeparator" w:id="0">
    <w:p w:rsidR="003646DA" w:rsidRDefault="003646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B6C"/>
    <w:multiLevelType w:val="multilevel"/>
    <w:tmpl w:val="78364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B2BB2"/>
    <w:multiLevelType w:val="multilevel"/>
    <w:tmpl w:val="26A4E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5B34D9"/>
    <w:multiLevelType w:val="multilevel"/>
    <w:tmpl w:val="3C3C1C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B9117F"/>
    <w:multiLevelType w:val="multilevel"/>
    <w:tmpl w:val="D93C79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E13D5C"/>
    <w:multiLevelType w:val="multilevel"/>
    <w:tmpl w:val="84508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2B47ED"/>
    <w:multiLevelType w:val="multilevel"/>
    <w:tmpl w:val="3A4CE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B36F90"/>
    <w:multiLevelType w:val="multilevel"/>
    <w:tmpl w:val="5F581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971F37"/>
    <w:multiLevelType w:val="multilevel"/>
    <w:tmpl w:val="68A05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DA3869"/>
    <w:multiLevelType w:val="multilevel"/>
    <w:tmpl w:val="9D52E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785040"/>
    <w:multiLevelType w:val="multilevel"/>
    <w:tmpl w:val="E78EF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6148E0"/>
    <w:multiLevelType w:val="multilevel"/>
    <w:tmpl w:val="D9F63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FF6826"/>
    <w:multiLevelType w:val="multilevel"/>
    <w:tmpl w:val="B448CD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0F4C91"/>
    <w:multiLevelType w:val="multilevel"/>
    <w:tmpl w:val="136C8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D30817"/>
    <w:multiLevelType w:val="multilevel"/>
    <w:tmpl w:val="FF642D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121DA3"/>
    <w:multiLevelType w:val="multilevel"/>
    <w:tmpl w:val="4426EC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9B3A96"/>
    <w:multiLevelType w:val="multilevel"/>
    <w:tmpl w:val="A2E259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577272"/>
    <w:multiLevelType w:val="multilevel"/>
    <w:tmpl w:val="C39014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501393"/>
    <w:multiLevelType w:val="multilevel"/>
    <w:tmpl w:val="218EB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B87307"/>
    <w:multiLevelType w:val="multilevel"/>
    <w:tmpl w:val="23722C4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3F20F6"/>
    <w:multiLevelType w:val="multilevel"/>
    <w:tmpl w:val="8CCCD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6E397F"/>
    <w:multiLevelType w:val="multilevel"/>
    <w:tmpl w:val="1AFA34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4D3C34"/>
    <w:multiLevelType w:val="multilevel"/>
    <w:tmpl w:val="942274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93F5E9C"/>
    <w:multiLevelType w:val="multilevel"/>
    <w:tmpl w:val="59FC8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ECA7DC2"/>
    <w:multiLevelType w:val="multilevel"/>
    <w:tmpl w:val="7FE4C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B2780C"/>
    <w:multiLevelType w:val="multilevel"/>
    <w:tmpl w:val="8260F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6B315C0"/>
    <w:multiLevelType w:val="multilevel"/>
    <w:tmpl w:val="1EBA33C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82B6EDC"/>
    <w:multiLevelType w:val="multilevel"/>
    <w:tmpl w:val="79C63A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6B5DED"/>
    <w:multiLevelType w:val="multilevel"/>
    <w:tmpl w:val="18804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E51A56"/>
    <w:multiLevelType w:val="multilevel"/>
    <w:tmpl w:val="07221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4"/>
  </w:num>
  <w:num w:numId="3">
    <w:abstractNumId w:val="0"/>
  </w:num>
  <w:num w:numId="4">
    <w:abstractNumId w:val="2"/>
  </w:num>
  <w:num w:numId="5">
    <w:abstractNumId w:val="17"/>
  </w:num>
  <w:num w:numId="6">
    <w:abstractNumId w:val="26"/>
  </w:num>
  <w:num w:numId="7">
    <w:abstractNumId w:val="20"/>
  </w:num>
  <w:num w:numId="8">
    <w:abstractNumId w:val="24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5"/>
  </w:num>
  <w:num w:numId="14">
    <w:abstractNumId w:val="15"/>
  </w:num>
  <w:num w:numId="15">
    <w:abstractNumId w:val="21"/>
  </w:num>
  <w:num w:numId="16">
    <w:abstractNumId w:val="12"/>
  </w:num>
  <w:num w:numId="17">
    <w:abstractNumId w:val="18"/>
  </w:num>
  <w:num w:numId="18">
    <w:abstractNumId w:val="1"/>
  </w:num>
  <w:num w:numId="19">
    <w:abstractNumId w:val="19"/>
  </w:num>
  <w:num w:numId="20">
    <w:abstractNumId w:val="13"/>
  </w:num>
  <w:num w:numId="21">
    <w:abstractNumId w:val="28"/>
  </w:num>
  <w:num w:numId="22">
    <w:abstractNumId w:val="10"/>
  </w:num>
  <w:num w:numId="23">
    <w:abstractNumId w:val="4"/>
  </w:num>
  <w:num w:numId="24">
    <w:abstractNumId w:val="27"/>
  </w:num>
  <w:num w:numId="25">
    <w:abstractNumId w:val="9"/>
  </w:num>
  <w:num w:numId="26">
    <w:abstractNumId w:val="25"/>
  </w:num>
  <w:num w:numId="27">
    <w:abstractNumId w:val="11"/>
  </w:num>
  <w:num w:numId="28">
    <w:abstractNumId w:val="1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73"/>
    <w:rsid w:val="001555D1"/>
    <w:rsid w:val="003646DA"/>
    <w:rsid w:val="005D5E35"/>
    <w:rsid w:val="00710DE1"/>
    <w:rsid w:val="00861173"/>
    <w:rsid w:val="008F7EAB"/>
    <w:rsid w:val="00B92335"/>
    <w:rsid w:val="00E5783A"/>
    <w:rsid w:val="00F6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117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1173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861173"/>
    <w:rPr>
      <w:rFonts w:ascii="Constantia" w:eastAsia="Constantia" w:hAnsi="Constantia" w:cs="Constant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15pt">
    <w:name w:val="Основной текст (3) + Times New Roman;15 pt"/>
    <w:basedOn w:val="3"/>
    <w:rsid w:val="00861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861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TimesNewRoman15pt4pt">
    <w:name w:val="Основной текст (3) + Times New Roman;15 pt;Интервал 4 pt"/>
    <w:basedOn w:val="3"/>
    <w:rsid w:val="00861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861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sid w:val="00861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TimesNewRoman15pt2pt">
    <w:name w:val="Основной текст (3) + Times New Roman;15 pt;Интервал 2 pt"/>
    <w:basedOn w:val="3"/>
    <w:rsid w:val="00861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861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861173"/>
    <w:pPr>
      <w:shd w:val="clear" w:color="auto" w:fill="FFFFFF"/>
      <w:spacing w:after="120" w:line="0" w:lineRule="atLeast"/>
      <w:jc w:val="center"/>
    </w:pPr>
    <w:rPr>
      <w:rFonts w:ascii="Constantia" w:eastAsia="Constantia" w:hAnsi="Constantia" w:cs="Constantia"/>
      <w:b/>
      <w:bCs/>
      <w:sz w:val="26"/>
      <w:szCs w:val="26"/>
    </w:rPr>
  </w:style>
  <w:style w:type="paragraph" w:customStyle="1" w:styleId="10">
    <w:name w:val="Заголовок №1"/>
    <w:basedOn w:val="Normal"/>
    <w:link w:val="1"/>
    <w:rsid w:val="0086117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rsid w:val="00861173"/>
    <w:pPr>
      <w:shd w:val="clear" w:color="auto" w:fill="FFFFFF"/>
      <w:spacing w:before="420" w:after="420" w:line="0" w:lineRule="atLeast"/>
      <w:ind w:hanging="78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14pt">
    <w:name w:val="Основной текст (2) + 14 pt;Полужирный"/>
    <w:basedOn w:val="2"/>
    <w:rsid w:val="00710D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117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1173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861173"/>
    <w:rPr>
      <w:rFonts w:ascii="Constantia" w:eastAsia="Constantia" w:hAnsi="Constantia" w:cs="Constant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15pt">
    <w:name w:val="Основной текст (3) + Times New Roman;15 pt"/>
    <w:basedOn w:val="3"/>
    <w:rsid w:val="00861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861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TimesNewRoman15pt4pt">
    <w:name w:val="Основной текст (3) + Times New Roman;15 pt;Интервал 4 pt"/>
    <w:basedOn w:val="3"/>
    <w:rsid w:val="00861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861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sid w:val="00861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TimesNewRoman15pt2pt">
    <w:name w:val="Основной текст (3) + Times New Roman;15 pt;Интервал 2 pt"/>
    <w:basedOn w:val="3"/>
    <w:rsid w:val="00861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861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861173"/>
    <w:pPr>
      <w:shd w:val="clear" w:color="auto" w:fill="FFFFFF"/>
      <w:spacing w:after="120" w:line="0" w:lineRule="atLeast"/>
      <w:jc w:val="center"/>
    </w:pPr>
    <w:rPr>
      <w:rFonts w:ascii="Constantia" w:eastAsia="Constantia" w:hAnsi="Constantia" w:cs="Constantia"/>
      <w:b/>
      <w:bCs/>
      <w:sz w:val="26"/>
      <w:szCs w:val="26"/>
    </w:rPr>
  </w:style>
  <w:style w:type="paragraph" w:customStyle="1" w:styleId="10">
    <w:name w:val="Заголовок №1"/>
    <w:basedOn w:val="Normal"/>
    <w:link w:val="1"/>
    <w:rsid w:val="0086117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rsid w:val="00861173"/>
    <w:pPr>
      <w:shd w:val="clear" w:color="auto" w:fill="FFFFFF"/>
      <w:spacing w:before="420" w:after="420" w:line="0" w:lineRule="atLeast"/>
      <w:ind w:hanging="78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14pt">
    <w:name w:val="Основной текст (2) + 14 pt;Полужирный"/>
    <w:basedOn w:val="2"/>
    <w:rsid w:val="00710D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7777</Words>
  <Characters>44331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2018-08-28T05:55:00Z</dcterms:created>
  <dcterms:modified xsi:type="dcterms:W3CDTF">2018-08-28T05:55:00Z</dcterms:modified>
</cp:coreProperties>
</file>