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964B2" w14:textId="77777777" w:rsidR="00006ABD" w:rsidRDefault="00006ABD" w:rsidP="00006ABD">
      <w:pPr>
        <w:pStyle w:val="Bodytext20"/>
        <w:shd w:val="clear" w:color="auto" w:fill="auto"/>
        <w:spacing w:before="0" w:after="120" w:line="240" w:lineRule="auto"/>
        <w:ind w:left="5103"/>
        <w:jc w:val="center"/>
        <w:rPr>
          <w:rFonts w:ascii="Sylfaen" w:hAnsi="Sylfaen" w:cs="Sylfaen"/>
          <w:sz w:val="24"/>
          <w:lang w:val="ru-RU" w:eastAsia="ru-RU" w:bidi="ru-RU"/>
        </w:rPr>
      </w:pPr>
      <w:r>
        <w:rPr>
          <w:rFonts w:ascii="Sylfaen" w:hAnsi="Sylfaen" w:cs="Sylfaen"/>
          <w:sz w:val="24"/>
        </w:rPr>
        <w:t>УТВЕРЖДЕНЫ</w:t>
      </w:r>
    </w:p>
    <w:p w14:paraId="24A8C36D" w14:textId="77777777" w:rsidR="00006ABD" w:rsidRDefault="00006ABD" w:rsidP="00006ABD">
      <w:pPr>
        <w:pStyle w:val="Bodytext20"/>
        <w:shd w:val="clear" w:color="auto" w:fill="auto"/>
        <w:spacing w:before="0" w:after="120" w:line="240" w:lineRule="auto"/>
        <w:ind w:left="5103"/>
        <w:jc w:val="center"/>
        <w:rPr>
          <w:rFonts w:ascii="Sylfaen" w:hAnsi="Sylfaen" w:cs="Sylfaen"/>
          <w:sz w:val="24"/>
        </w:rPr>
      </w:pPr>
      <w:r>
        <w:rPr>
          <w:rFonts w:ascii="Sylfaen" w:hAnsi="Sylfaen" w:cs="Sylfaen"/>
          <w:sz w:val="24"/>
        </w:rPr>
        <w:t>Решением Высшего Евразийского экономического совета</w:t>
      </w:r>
    </w:p>
    <w:p w14:paraId="795E005D" w14:textId="77777777" w:rsidR="00006ABD" w:rsidRDefault="00006ABD" w:rsidP="00006ABD">
      <w:pPr>
        <w:pStyle w:val="Bodytext20"/>
        <w:shd w:val="clear" w:color="auto" w:fill="auto"/>
        <w:spacing w:before="0" w:after="120" w:line="240" w:lineRule="auto"/>
        <w:ind w:left="5103"/>
        <w:jc w:val="center"/>
        <w:rPr>
          <w:rFonts w:ascii="Sylfaen" w:hAnsi="Sylfaen" w:cs="Sylfaen"/>
          <w:sz w:val="24"/>
        </w:rPr>
      </w:pPr>
      <w:r>
        <w:rPr>
          <w:rFonts w:ascii="Sylfaen" w:hAnsi="Sylfaen" w:cs="Sylfaen"/>
          <w:sz w:val="24"/>
        </w:rPr>
        <w:t>от 18</w:t>
      </w:r>
      <w:r>
        <w:rPr>
          <w:rStyle w:val="Bodytext216pt"/>
          <w:rFonts w:ascii="Sylfaen" w:hAnsi="Sylfaen" w:cs="Sylfaen"/>
          <w:sz w:val="24"/>
        </w:rPr>
        <w:t xml:space="preserve"> мая</w:t>
      </w:r>
      <w:r>
        <w:rPr>
          <w:rFonts w:ascii="Sylfaen" w:hAnsi="Sylfaen" w:cs="Sylfaen"/>
          <w:sz w:val="24"/>
        </w:rPr>
        <w:t xml:space="preserve"> 2018г. №15</w:t>
      </w:r>
    </w:p>
    <w:p w14:paraId="2640F2D6" w14:textId="77777777" w:rsidR="00006ABD" w:rsidRDefault="00006ABD" w:rsidP="00006ABD">
      <w:pPr>
        <w:pStyle w:val="Bodytext20"/>
        <w:shd w:val="clear" w:color="auto" w:fill="auto"/>
        <w:spacing w:before="0" w:after="120" w:line="240" w:lineRule="auto"/>
        <w:ind w:left="5103"/>
        <w:jc w:val="center"/>
        <w:rPr>
          <w:rFonts w:ascii="Sylfaen" w:hAnsi="Sylfaen" w:cs="Sylfaen"/>
          <w:sz w:val="24"/>
        </w:rPr>
      </w:pPr>
    </w:p>
    <w:p w14:paraId="24B0C9BF" w14:textId="77777777" w:rsidR="00006ABD" w:rsidRDefault="00006ABD" w:rsidP="00006ABD">
      <w:pPr>
        <w:pStyle w:val="Bodytext30"/>
        <w:shd w:val="clear" w:color="auto" w:fill="auto"/>
        <w:spacing w:before="0" w:after="120" w:line="240" w:lineRule="auto"/>
        <w:ind w:left="1418" w:right="1418"/>
        <w:rPr>
          <w:rStyle w:val="Bodytext3Spacing2pt"/>
          <w:rFonts w:ascii="Sylfaen" w:hAnsi="Sylfaen" w:cs="Sylfaen"/>
          <w:b/>
          <w:bCs/>
          <w:sz w:val="24"/>
          <w:lang w:val="en-US"/>
        </w:rPr>
      </w:pPr>
      <w:r>
        <w:rPr>
          <w:rStyle w:val="Bodytext3Spacing2pt"/>
          <w:rFonts w:ascii="Sylfaen" w:hAnsi="Sylfaen" w:cs="Sylfaen"/>
          <w:sz w:val="24"/>
        </w:rPr>
        <w:t>ОСНОВНЫЕ НАПРАВЛЕНИЯ</w:t>
      </w:r>
    </w:p>
    <w:p w14:paraId="2D385B3C" w14:textId="77777777" w:rsidR="00006ABD" w:rsidRDefault="00006ABD" w:rsidP="00006ABD">
      <w:pPr>
        <w:pStyle w:val="Bodytext30"/>
        <w:shd w:val="clear" w:color="auto" w:fill="auto"/>
        <w:spacing w:before="0" w:after="120" w:line="240" w:lineRule="auto"/>
        <w:ind w:left="1418" w:right="1418"/>
        <w:rPr>
          <w:lang w:val="ru-RU"/>
        </w:rPr>
      </w:pPr>
      <w:r>
        <w:rPr>
          <w:rFonts w:ascii="Sylfaen" w:hAnsi="Sylfaen" w:cs="Sylfaen"/>
          <w:sz w:val="24"/>
        </w:rPr>
        <w:t>МЕЖДУНАРОДНОЙ ДЕЯТЕЛЬНОСТИ ЕВРАЗИЙСКОГО ЭКОНОМИЧЕСКОГО СОЮЗА НА 2018 ГОД</w:t>
      </w:r>
    </w:p>
    <w:p w14:paraId="6610E523" w14:textId="77777777" w:rsidR="00006ABD" w:rsidRDefault="00006ABD" w:rsidP="00006ABD">
      <w:pPr>
        <w:pStyle w:val="Bodytext30"/>
        <w:shd w:val="clear" w:color="auto" w:fill="auto"/>
        <w:spacing w:before="0" w:after="120" w:line="240" w:lineRule="auto"/>
        <w:ind w:left="1418" w:right="1418"/>
        <w:rPr>
          <w:rFonts w:ascii="Sylfaen" w:hAnsi="Sylfaen" w:cs="Sylfaen"/>
          <w:sz w:val="24"/>
        </w:rPr>
      </w:pPr>
    </w:p>
    <w:p w14:paraId="31334F79" w14:textId="77777777" w:rsidR="00006ABD" w:rsidRDefault="00006ABD" w:rsidP="00006ABD">
      <w:pPr>
        <w:pStyle w:val="Bodytext20"/>
        <w:shd w:val="clear" w:color="auto" w:fill="auto"/>
        <w:spacing w:before="0" w:after="120" w:line="240" w:lineRule="auto"/>
        <w:ind w:left="1134" w:right="1135"/>
        <w:jc w:val="center"/>
        <w:rPr>
          <w:rFonts w:ascii="Sylfaen" w:hAnsi="Sylfaen" w:cs="Sylfaen"/>
          <w:sz w:val="24"/>
        </w:rPr>
      </w:pPr>
      <w:r>
        <w:rPr>
          <w:rFonts w:ascii="Sylfaen" w:hAnsi="Sylfaen" w:cs="Sylfaen"/>
          <w:sz w:val="24"/>
          <w:lang w:bidi="en-US"/>
        </w:rPr>
        <w:t xml:space="preserve">I. </w:t>
      </w:r>
      <w:r>
        <w:rPr>
          <w:rFonts w:ascii="Sylfaen" w:hAnsi="Sylfaen" w:cs="Sylfaen"/>
          <w:sz w:val="24"/>
        </w:rPr>
        <w:t>Основные положения о международной деятельности Евразийского экономического союза</w:t>
      </w:r>
    </w:p>
    <w:p w14:paraId="187CB40B"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Настоящие Основные направления разработаны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в государствах - членах Союза (далее - государства-члены), наращиванию и реализации их экспортного потенциала, позиционированию Союза как надежного, предсказуемого партнера на международной арене.</w:t>
      </w:r>
    </w:p>
    <w:p w14:paraId="0313D0BC"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p w14:paraId="2A3B5B65" w14:textId="77777777" w:rsidR="00006ABD" w:rsidRDefault="00006ABD" w:rsidP="00006ABD">
      <w:pPr>
        <w:pStyle w:val="Bodytext20"/>
        <w:shd w:val="clear" w:color="auto" w:fill="auto"/>
        <w:spacing w:before="0" w:after="120" w:line="240" w:lineRule="auto"/>
        <w:ind w:left="320" w:right="680" w:firstLine="700"/>
        <w:rPr>
          <w:rFonts w:ascii="Sylfaen" w:hAnsi="Sylfaen" w:cs="Sylfaen"/>
          <w:sz w:val="24"/>
        </w:rPr>
      </w:pPr>
    </w:p>
    <w:p w14:paraId="422DF3C8" w14:textId="77777777" w:rsidR="00006ABD" w:rsidRDefault="00006ABD" w:rsidP="00006ABD">
      <w:pPr>
        <w:pStyle w:val="Bodytext20"/>
        <w:shd w:val="clear" w:color="auto" w:fill="auto"/>
        <w:spacing w:before="0" w:after="120" w:line="240" w:lineRule="auto"/>
        <w:ind w:left="1134" w:right="1135"/>
        <w:jc w:val="center"/>
        <w:rPr>
          <w:rFonts w:ascii="Sylfaen" w:hAnsi="Sylfaen" w:cs="Sylfaen"/>
          <w:sz w:val="24"/>
        </w:rPr>
      </w:pPr>
      <w:r>
        <w:rPr>
          <w:rFonts w:ascii="Sylfaen" w:hAnsi="Sylfaen" w:cs="Sylfaen"/>
          <w:sz w:val="24"/>
          <w:lang w:bidi="en-US"/>
        </w:rPr>
        <w:t xml:space="preserve">II. </w:t>
      </w:r>
      <w:r>
        <w:rPr>
          <w:rFonts w:ascii="Sylfaen" w:hAnsi="Sylfaen" w:cs="Sylfaen"/>
          <w:sz w:val="24"/>
        </w:rPr>
        <w:t>Направления международной деятельности на 2018 год</w:t>
      </w:r>
    </w:p>
    <w:p w14:paraId="77EE1213"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При осуществлении Союзом международной деятельности в 2018 году приоритетными являются следующие направления:</w:t>
      </w:r>
    </w:p>
    <w:p w14:paraId="03385B9E"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взаимодействие с правительствами третьих стран, региональными объединениями, международными организациями и бизнес- сообществами третьих стран в целях развития уже созданных механизмов сотрудничества, в том числе в рамках заключенных актов международного характера, проводимых переговорных процессов о заключении преференциальных и непреференциальных торговых соглашений, а также в иных форматах международной деятельности Союза;</w:t>
      </w:r>
    </w:p>
    <w:p w14:paraId="241F617D"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взаимодействие с правительствами третьих стран, региональными объединениями, международными организациями и бизнес- сообществами третьих стран, которые проявляют заинтересованность в сотрудничестве с Союзом, в целях выявления возможных форм взаимодействия, в частности подготовки и подписания </w:t>
      </w:r>
      <w:r>
        <w:rPr>
          <w:rFonts w:ascii="Sylfaen" w:hAnsi="Sylfaen" w:cs="Sylfaen"/>
          <w:sz w:val="24"/>
        </w:rPr>
        <w:lastRenderedPageBreak/>
        <w:t>меморандумов и других актов международного характера, проведения переговоров представителей Евразийской экономической комиссии (далее - Комиссия) и государств-членов (в случае, если переговоры проводятся переговорной делегацией совместно) о заключении преференциальных и непреференциальных торговых соглашений;</w:t>
      </w:r>
    </w:p>
    <w:p w14:paraId="62EBCEE1"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взаимодействие с правительствами третьих стран, региональными объединениями, международными организациями, бизнес- сообществами и экспертными кругами третьих стран в целях продвижения актуальной информации о евразийской экономической интеграции и формирования позитивного представления о Союзе как эффективной и конкурентоспособной международной организации региональной экономической интеграции, в частности путем проведения презентаций Союза и совместных профильных мероприятий на различных международных площадках.</w:t>
      </w:r>
    </w:p>
    <w:p w14:paraId="0B6C6FBF"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Основные усилия в области международной деятельности Союза и его государств-членов в 2018 году будут сосредоточены на развитии взаимодействия:</w:t>
      </w:r>
    </w:p>
    <w:p w14:paraId="5A07BC57"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Fonts w:ascii="Sylfaen" w:hAnsi="Sylfaen" w:cs="Sylfaen"/>
          <w:sz w:val="24"/>
        </w:rPr>
        <w:t>с государствами</w:t>
      </w:r>
      <w:r>
        <w:rPr>
          <w:rStyle w:val="Bodytext515pt"/>
          <w:rFonts w:eastAsia="Sylfaen"/>
          <w:sz w:val="24"/>
        </w:rPr>
        <w:t xml:space="preserve"> - </w:t>
      </w:r>
      <w:r>
        <w:rPr>
          <w:rFonts w:ascii="Sylfaen" w:hAnsi="Sylfaen" w:cs="Sylfaen"/>
          <w:sz w:val="24"/>
        </w:rPr>
        <w:t>участниками Содружества Независимых Государств (СНГ), не являющимися членами Союза, и региональными объединениями на пространстве СНГ.</w:t>
      </w:r>
    </w:p>
    <w:p w14:paraId="75D13A28"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Будет продолжена целенаправленная работа по популяризации в указанных странах (в первую очередь в государствах Центральной Азии) идеи евразийской экономической интеграции, в том числе в контексте дополнительных возможностей, которые открывает единый рынок Союза экономикам этих государств.</w:t>
      </w:r>
    </w:p>
    <w:p w14:paraId="76B10797"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Взаимодействие с Республикой Молдова будет продолжено в рамках реализации Меморандума о сотрудничестве между Евразийской экономической комиссией и Республикой Молдова от 3 апреля 2017 года, а также с учетом принятия решения по вопросу предоставления Республике Молдова статуса государства - наблюдателя при Союзе.</w:t>
      </w:r>
    </w:p>
    <w:p w14:paraId="007D1DD3"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Продолжится работа по повышению эффективности взаимодействия с постоянно действующими исполнительными органами региональных объединений, в том числе с Исполнительным комитетом СНГ и Постоянным Комитетом Союзного государства, по вопросам, входящим в компетенцию указанных организаций;</w:t>
      </w:r>
    </w:p>
    <w:p w14:paraId="5AEDE5C4"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Fonts w:ascii="Sylfaen" w:hAnsi="Sylfaen" w:cs="Sylfaen"/>
          <w:sz w:val="24"/>
        </w:rPr>
        <w:t>с европейскими государствами, Европейским союзом, другими региональными объединениями в Европе и иными функционирующими в европейском регионе организациями.</w:t>
      </w:r>
    </w:p>
    <w:p w14:paraId="7394804B"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Выстраивание международной деятельности на европейском направлении будет </w:t>
      </w:r>
      <w:r>
        <w:rPr>
          <w:rFonts w:ascii="Sylfaen" w:hAnsi="Sylfaen" w:cs="Sylfaen"/>
          <w:sz w:val="24"/>
        </w:rPr>
        <w:lastRenderedPageBreak/>
        <w:t>осуществляться с учетом интереса к сотрудничеству с Союзом со стороны правительств, бизнес-сообществ, экспертных кругов, а также их инициатив по организации мероприятий, посвященных взаимодействию Союза и Европейского союза, и будет направлено на содействие развитию взаимной торговли и либерализацию внешнеэкономической деятельности хозяйствующих субъектов государств-членов, создание диалоговых механизмов для урегулирования возникающих вопросов в ходе такой деятельности, а также установление контактов с представителями официальных кругов и институализацию сотрудничества с правительствами государств европейского региона.</w:t>
      </w:r>
    </w:p>
    <w:p w14:paraId="230ABEB9"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Греческой Республикой взаимодействие будет осуществляться в рамках Совместной декларации о сотрудничестве Евразийской экономической комиссии и Правительства Греческой Республики от 24 июня 2017 года, с Республикой Сербией - в рамках переговорного процесса по подготовке соглашения об унификации торгового режима между государствами-членами и Республикой Сербией, с Венгрией - в рамках Меморандума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 с другими государствами региона, включая Итальянскую Республику, Словацкую Республику, Чешскую Республику и др., - в рамках традиционных мероприятий, посвященных евразийской экономической интеграции, с целью выявления возможных форматов взаимодействия и последующей институализации сотрудничества.</w:t>
      </w:r>
    </w:p>
    <w:p w14:paraId="6E439440"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В рамках продвижения инициативы «интеграции интеграций» будет продолжена целенаправленная работа по установлению прямых контактов Комиссии с Европейской комиссией, реализации предложений, изложенных в памятной записке «Евразийский экономический союз - Европейский союз: контуры сотрудничества» от 17 сентября 2015 года, а также инициативы Президента Республики Казахстан Назарбаева Н.А. о проведении конференции высокого уровня по вопросам сотрудничества Союза и Европейского союза.</w:t>
      </w:r>
    </w:p>
    <w:p w14:paraId="319B3B4F"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Одним из перспективных направлений деятельности по вопросам сотрудничества Союза и Европейского союза может стать развитие взаимодействия на экспертном уровне по вопросам правового регулирования (вопросы стандартизации и техрегулирования).</w:t>
      </w:r>
    </w:p>
    <w:p w14:paraId="2B3F1A72"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Комиссия продолжит курс на укрепление сотрудничества с международными организациями региона, оказывающими содействие развитию процессов региональной экономической интеграции, - Организацией по безопасности и сотрудничеству в Европе (в части экономической корзины и вопросов экономической взаимосвязанности в регионе), Центральноевропейской инициативой, Европейской ассоциацией свободной торговли, Организацией Черноморского экономического сотрудничества и др.;</w:t>
      </w:r>
    </w:p>
    <w:p w14:paraId="2EE64B9A"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Style w:val="Bodytext216pt"/>
          <w:rFonts w:ascii="Sylfaen" w:hAnsi="Sylfaen" w:cs="Sylfaen"/>
          <w:sz w:val="24"/>
        </w:rPr>
        <w:t>с государствами, региональными объединениями и бизнес- сообществами Северной Америки,</w:t>
      </w:r>
      <w:r>
        <w:rPr>
          <w:rFonts w:ascii="Sylfaen" w:hAnsi="Sylfaen" w:cs="Sylfaen"/>
          <w:sz w:val="24"/>
        </w:rPr>
        <w:t xml:space="preserve"> в первую очередь с Соединенными Штатами Америки, Канадой, Мексиканскими Соединенными Штатами;</w:t>
      </w:r>
    </w:p>
    <w:p w14:paraId="53EF11A9"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Style w:val="Bodytext515pt"/>
          <w:rFonts w:eastAsia="Sylfaen"/>
          <w:sz w:val="24"/>
        </w:rPr>
        <w:lastRenderedPageBreak/>
        <w:t xml:space="preserve">с </w:t>
      </w:r>
      <w:r>
        <w:rPr>
          <w:rFonts w:ascii="Sylfaen" w:hAnsi="Sylfaen" w:cs="Sylfaen"/>
          <w:sz w:val="24"/>
        </w:rPr>
        <w:t>государствами</w:t>
      </w:r>
      <w:r>
        <w:rPr>
          <w:rStyle w:val="Bodytext515pt"/>
          <w:rFonts w:eastAsia="Sylfaen"/>
          <w:sz w:val="24"/>
        </w:rPr>
        <w:t xml:space="preserve">, </w:t>
      </w:r>
      <w:r>
        <w:rPr>
          <w:rFonts w:ascii="Sylfaen" w:hAnsi="Sylfaen" w:cs="Sylfaen"/>
          <w:sz w:val="24"/>
        </w:rPr>
        <w:t>региональными объединениями и международными организациями Азии и Азиатско-Тихоокеанского региона.</w:t>
      </w:r>
      <w:r>
        <w:rPr>
          <w:rStyle w:val="Bodytext2"/>
          <w:rFonts w:ascii="Sylfaen" w:hAnsi="Sylfaen" w:cs="Sylfaen"/>
          <w:i/>
          <w:iCs/>
          <w:sz w:val="24"/>
        </w:rPr>
        <w:t xml:space="preserve"> Усилия Комиссии будут направлены на взаимодействие со следующими ключевыми партнерами:</w:t>
      </w:r>
    </w:p>
    <w:p w14:paraId="15855B83"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Китайской Народной Республикой, в том числе в рамках переговорного процесса по заключению соглашения о торгово- 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p w14:paraId="38145F45"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Социалистической Республикой Вьетнам, в том числе в рамках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14:paraId="0097BA21"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Республикой Индией, Республикой Сингапур в рамках переговоров по заключению соглашений о свободной торговле;</w:t>
      </w:r>
    </w:p>
    <w:p w14:paraId="57CC3238"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правительствами Монголии, Республики Сингапур, Королевства Камбоджа в рамках реализации заключенных меморандумов;</w:t>
      </w:r>
    </w:p>
    <w:p w14:paraId="4FAF6AF5"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Министерством торговли, промышленности и энергетики Республики Корея в рамках реализации заключенного Меморандума о взаимопонимании;</w:t>
      </w:r>
    </w:p>
    <w:p w14:paraId="17A70B6E"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другими государствами региона, включая Республику Индонезию, Малайзию, Королевство Таиланд, Японию и др., в целях установления или институализации сотрудничества;</w:t>
      </w:r>
    </w:p>
    <w:p w14:paraId="7E6E26F1"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Ассоциацией государств Юго-Восточной Азии (АСЕАН), Шанхайской организацией сотрудничества (ШОС) и форумом «Азиатско-Тихоокеанское экономическое сотрудничество» (АТЭС);</w:t>
      </w:r>
    </w:p>
    <w:p w14:paraId="62D8DD4A"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Style w:val="Bodytext515pt"/>
          <w:rFonts w:eastAsia="Sylfaen"/>
          <w:sz w:val="24"/>
        </w:rPr>
        <w:t xml:space="preserve">с </w:t>
      </w:r>
      <w:r>
        <w:rPr>
          <w:rFonts w:ascii="Sylfaen" w:hAnsi="Sylfaen" w:cs="Sylfaen"/>
          <w:sz w:val="24"/>
        </w:rPr>
        <w:t>государствами и региональными объединениями Латинской Америки</w:t>
      </w:r>
      <w:r>
        <w:rPr>
          <w:rStyle w:val="Bodytext515pt"/>
          <w:rFonts w:eastAsia="Sylfaen"/>
          <w:sz w:val="24"/>
        </w:rPr>
        <w:t>, в том числе:</w:t>
      </w:r>
    </w:p>
    <w:p w14:paraId="34AE55E5"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правительствами Республики Чили и Республики Перу в рамках реализации заключенных меморандумов о взаимопонимании;</w:t>
      </w:r>
    </w:p>
    <w:p w14:paraId="1F220F41"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другими государствами региона, включая Аргентинскую Республику, Федеративную Республику Бразилию, Республику Колумбию, Республику Куба, Республику Эквадор и др., по рассмотрению перспектив формализации сотрудничества путем подписания меморандумов о взаимопонимании;</w:t>
      </w:r>
    </w:p>
    <w:p w14:paraId="78AFFB04"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с Генеральным секретариатом Андского сообщества в рамках реализации соответствующего меморандума, а также с Южноамериканским общим рынком (МЕРКОСУР), Карибским сообществом (КАРИКОМ), Ассоциацией карибских государств, Латиноамериканской ассоциацией интеграции (ЛАИ), в том числе по подготовке и подписанию меморандумов о взаимопонимании. Продолжится работа </w:t>
      </w:r>
      <w:r>
        <w:rPr>
          <w:rFonts w:ascii="Sylfaen" w:hAnsi="Sylfaen" w:cs="Sylfaen"/>
          <w:sz w:val="24"/>
        </w:rPr>
        <w:lastRenderedPageBreak/>
        <w:t>по налаживанию взаимодействия с Тихоокеанским Альянсом, Центральноамериканской интеграционной системой (ЦАИС), Сообществом стран Латинской Америки и Карибского бассейна (СЕЛАК);</w:t>
      </w:r>
    </w:p>
    <w:p w14:paraId="123DB075"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Fonts w:ascii="Sylfaen" w:hAnsi="Sylfaen" w:cs="Sylfaen"/>
          <w:sz w:val="24"/>
        </w:rPr>
        <w:t>с государствами и региональными объединениями Ближнего Востока и Африки</w:t>
      </w:r>
      <w:r>
        <w:rPr>
          <w:rStyle w:val="Bodytext515pt"/>
          <w:rFonts w:eastAsia="Sylfaen"/>
          <w:sz w:val="24"/>
        </w:rPr>
        <w:t>, в том числе:</w:t>
      </w:r>
    </w:p>
    <w:p w14:paraId="63A73079"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Арабской Республикой Египет и Государством Израиль в рамках переговоров по заключению соглашений о зонах свободной торговли;</w:t>
      </w:r>
    </w:p>
    <w:p w14:paraId="1FFB8619"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Исламской Республикой Иран в рамках переговорного процесса по подготовке временного соглашения, ведущего к образованию зоны свободной торговли;</w:t>
      </w:r>
    </w:p>
    <w:p w14:paraId="0F543564"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будет продолжено изучение вопроса о налаживании и институализации взаимодействия с государствами и интеграционными объединениями региона, проявляющими интерес к сотрудничеству с Союзом.</w:t>
      </w:r>
    </w:p>
    <w:p w14:paraId="2C90FBAC"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С учетом уже имеющегося уровня взаимодействия и планов по развитию сотрудничества с Федеративной Республикой Бразилией, Республикой Индией, Китайской Народной Республикой и Южно- Африканской Республикой Комиссия будет по приглашению данных стран использовать формат и площадку БРИКС для обсуждения вопросов экономического сотрудничества с официальными представителями этих стран.</w:t>
      </w:r>
    </w:p>
    <w:p w14:paraId="5113ADC1"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Комиссия рассматривает меморандум о сотрудничестве с третьими странами и международными организациями как оптимальный формат, позволяющий формализовать диалог по экономической повестке в части вопросов, переданных в Союзе в компетенцию Комиссии.</w:t>
      </w:r>
    </w:p>
    <w:p w14:paraId="7AFDAEC2"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Деятельность рабочих групп, формируемых и функционирующих в соответствии с меморандумами о сотрудничестве, будет осуществляться при активном участии представителей органов исполнительной власти государств-членов, Делового совета Евразийского экономического союза, а также деловых кругов государств-членов.</w:t>
      </w:r>
    </w:p>
    <w:p w14:paraId="71264D06"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Государства-члены будут оказывать поддержку проводимым в рамках заключенных меморандумов форумам, конференциям, круглым столам и т.п. посредством информационного сопровождения и содействия в формировании делегаций представителей деловых кругов и органов исполнительной власти государств-членов.</w:t>
      </w:r>
    </w:p>
    <w:p w14:paraId="6565C574"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Будет продолжено взаимодействие с представителями правительств третьих стран по вопросам применения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с третьими странами, региональными интеграционными объединениями и международными организациями по вопросам применения мер защиты внутреннего рынка.</w:t>
      </w:r>
    </w:p>
    <w:p w14:paraId="0C54F119"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lastRenderedPageBreak/>
        <w:t xml:space="preserve">Будет развиваться многостороннее сотрудничество с </w:t>
      </w:r>
      <w:r>
        <w:rPr>
          <w:rStyle w:val="Bodytext216pt"/>
          <w:rFonts w:ascii="Sylfaen" w:hAnsi="Sylfaen" w:cs="Sylfaen"/>
          <w:sz w:val="24"/>
        </w:rPr>
        <w:t>международными организациями</w:t>
      </w:r>
      <w:r>
        <w:rPr>
          <w:rFonts w:ascii="Sylfaen" w:hAnsi="Sylfaen" w:cs="Sylfaen"/>
          <w:sz w:val="24"/>
        </w:rPr>
        <w:t>, в том числе:</w:t>
      </w:r>
    </w:p>
    <w:p w14:paraId="31B20C86"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Style w:val="Bodytext216pt"/>
          <w:rFonts w:ascii="Sylfaen" w:hAnsi="Sylfaen" w:cs="Sylfaen"/>
          <w:sz w:val="24"/>
        </w:rPr>
        <w:t xml:space="preserve">с организациями системы Организации Объединенных Наций </w:t>
      </w:r>
      <w:r>
        <w:rPr>
          <w:rFonts w:ascii="Sylfaen" w:hAnsi="Sylfaen" w:cs="Sylfaen"/>
          <w:sz w:val="24"/>
        </w:rPr>
        <w:t>(ООН) в рамках компетенции Союза (в том числе с региональными комиссиями Экономического и Социального совета ООН (ЭКОСОС) - Европейской экономической комиссией ООН (ЕЭК ООН), Экономической и Социальной комиссией ООН для Азии и Тихого океана (ЭСКАТО) в рамках заключенных меморандумов о взаимопонимании, с Экономической комиссией ООН для Латинской Америки и Карибского бассейна (ЭКЛАК) по вопросу подписания рамочного документа о сотрудничестве и с функциональной комиссией ЭКОСОС - Статистической комиссией), со специализированными учреждениями ООН (Межправительственной группой экспертов по законодательству и политике в области конкуренции ЮНКТАД, Межправительственной группой экспертов по законодательству и политике в сфере защиты прав потребителей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Группой Всемирного банка (кроме МЦУИС и МАГИ), Продовольственной и сельскохозяйственной организацией Объединенных Наций (ФАО), Всемирной организацией здравоохранения (ВОЗ), Всемирной организацией интеллектуальной собственности (ВОИС), Международной организацией труда (МОТ), Всемирным почтовым союзом), с членами Координационного совета руководителей ООН (Программой развития ООН (ПРООН)), с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как основным юридическим органом системы ООН, а также с Конференцией ООН по торговле и развитию (ЮНКТАД) как органом Генеральной Ассамблеи ООН.</w:t>
      </w:r>
    </w:p>
    <w:p w14:paraId="16972C40"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Усилия государств-членов и Комиссии будут сосредоточены на проработке вопроса получения Союзом статуса наблюдателя при Генеральной Ассамблее ООН, реализации утвержденных и разработке новых программ сотрудничества с организациями системы ООН, участии в мероприятиях высокого уровня, организуемых на площадках организаций системы ООН, в том числе по проблематике устойчивого развития;</w:t>
      </w:r>
    </w:p>
    <w:p w14:paraId="4089563C" w14:textId="77777777" w:rsidR="00006ABD" w:rsidRDefault="00006ABD" w:rsidP="00006ABD">
      <w:pPr>
        <w:pStyle w:val="Bodytext50"/>
        <w:shd w:val="clear" w:color="auto" w:fill="auto"/>
        <w:spacing w:after="120" w:line="240" w:lineRule="auto"/>
        <w:ind w:right="1" w:firstLine="567"/>
        <w:rPr>
          <w:rFonts w:ascii="Sylfaen" w:hAnsi="Sylfaen" w:cs="Sylfaen"/>
          <w:sz w:val="24"/>
        </w:rPr>
      </w:pPr>
      <w:r>
        <w:rPr>
          <w:rFonts w:ascii="Sylfaen" w:hAnsi="Sylfaen" w:cs="Sylfaen"/>
          <w:sz w:val="24"/>
        </w:rPr>
        <w:t>со специализированными международными организациями (в том числе с региональными), союзами и т. п., их отраслевыми органами и учреждениями</w:t>
      </w:r>
      <w:r>
        <w:rPr>
          <w:rStyle w:val="Bodytext515pt"/>
          <w:rFonts w:eastAsia="Sylfaen"/>
          <w:sz w:val="24"/>
        </w:rPr>
        <w:t xml:space="preserve"> в рамках компетенции Союза:</w:t>
      </w:r>
    </w:p>
    <w:p w14:paraId="6FBE2478"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Всемирной таможенной организацией, Всемирной организацией по охране здоровья животных,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Международной организацией </w:t>
      </w:r>
      <w:r>
        <w:rPr>
          <w:rFonts w:ascii="Sylfaen" w:hAnsi="Sylfaen" w:cs="Sylfaen"/>
          <w:sz w:val="24"/>
        </w:rPr>
        <w:lastRenderedPageBreak/>
        <w:t xml:space="preserve">гражданской авиации,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Мировым энергетическим советом, Форумом стран - экспортеров газа, Организацией стран - экспортеров нефти, Мировым газовым союзом и энергетическими биржами Европы и Азии, Агентством по взаимодействию регуляторов в области энергетики,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Евразийским банком развития, Межгосударственным банком, Финансово-банковской ассоциацией ЕвроАзиатского сотрудничества, Евразийской патентной организацией, Ведомством по интеллектуальной собственности Европейского союза, 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стандартизации в электротехнике, Европейским сотрудничеством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Энергетическим сообществом, Европейским сообществом операторов электропередающих сетей, Европейским сообществом операторов газотранспортных сетей, Агентством европейских регуляторов энергетики, Германским энергетическим агентством, Австрийским энергетическим агентством, Испанской энергетической компанией, Координатором системных операторов </w:t>
      </w:r>
      <w:r>
        <w:rPr>
          <w:rFonts w:ascii="Sylfaen" w:hAnsi="Sylfaen" w:cs="Sylfaen"/>
          <w:sz w:val="24"/>
          <w:lang w:bidi="en-US"/>
        </w:rPr>
        <w:t xml:space="preserve">(CORESO), </w:t>
      </w:r>
      <w:r>
        <w:rPr>
          <w:rFonts w:ascii="Sylfaen" w:hAnsi="Sylfaen" w:cs="Sylfaen"/>
          <w:sz w:val="24"/>
        </w:rPr>
        <w:t xml:space="preserve">Электроэнергетическим Советом СНГ, Комиссией по межрегиональному сотрудничеству в сфере электроэнергетики Центральноамериканского общего рынка, Агентством по окружающей среде и регулированию энергетики, 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 Средиземноморской организацией по карантину и защите растений, Евро-Азиатским </w:t>
      </w:r>
      <w:r>
        <w:rPr>
          <w:rFonts w:ascii="Sylfaen" w:hAnsi="Sylfaen" w:cs="Sylfaen"/>
          <w:sz w:val="24"/>
        </w:rPr>
        <w:lastRenderedPageBreak/>
        <w:t>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Американским обществом по испытаниям материалов, Американским обществом по испытаниям материалов, Американским обществом инженеров-механиков, Американским институтом нефти, Региональным содружеством в области связи, Советом руководителей миграционных органов государств - участников СНГ, Общественной организацией Всеобщей конфедерацией профсоюзов - международным профсоюзным объединением, Международной ассоциацией социального обеспечения, Международной ассоциацией пенсионных и социальных фондов, Межгосударственным советом по антимонопольной политике, Межгосударственным советом по стандартизации, метрологии и сертификации, Консультативным советом по защите прав потребителей государств - участников СНГ, Межгосударственным статистическим комитетом СНГ, Межпарламентской Ассамблеей государств - участников СНГ, Координационным советом государств - участников СНГ по информатизации при Региональном содружестве в области связи, Координационным советом по карантину растений государств - участников СНГ, Межгосударственным авиационным комитетом,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p w14:paraId="6C8A0647"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Всемирной торговой организацией (ВТО), включая работу как в регулярных комитетах ВТО, так и в создаваемых в рамках многосторонних торговых специализированных рабочих групп и специальных сессий регулярных комитетов ВТО, а также работу в рамках процедуры разрешения споров ВТО по мерам, относящимся к компетенции Союза, в первую очередь - по мерам защиты внутреннего рынка Союза;</w:t>
      </w:r>
    </w:p>
    <w:p w14:paraId="061FC736"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Организацией экономического сотрудничества и развития (ОЭСР), в том числе в рамках работы департаментов и рабочих органов ОЭСР;</w:t>
      </w:r>
    </w:p>
    <w:p w14:paraId="0C2A0803"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руководящими и рабочими органами в рамках Кимберлийского процесса.</w:t>
      </w:r>
    </w:p>
    <w:p w14:paraId="438200B4"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Продолжится взаимодействие с </w:t>
      </w:r>
      <w:r>
        <w:rPr>
          <w:rStyle w:val="Bodytext216pt"/>
          <w:rFonts w:ascii="Sylfaen" w:hAnsi="Sylfaen" w:cs="Sylfaen"/>
          <w:sz w:val="24"/>
        </w:rPr>
        <w:t>международным деловым и экспертным сообществом</w:t>
      </w:r>
      <w:r>
        <w:rPr>
          <w:rFonts w:ascii="Sylfaen" w:hAnsi="Sylfaen" w:cs="Sylfaen"/>
          <w:sz w:val="24"/>
        </w:rPr>
        <w:t>, в том числе с торгово-промышленными палатами, советами делового сотрудничества, региональными банками развития и ключевыми международными дискуссионными площадками, включая Всемирный экономический форум, Конференцию «Экономическая интеграция в развивающихся странах: вызовы и возможности», Конференцию Международного совета по зерну, Международную выставку сельскохозяйственной и пищевой промышленности, Форум мировых производителей, издание «Всемирный обзор по конкуренции», Международный центр по налогам и инвестициям.</w:t>
      </w:r>
    </w:p>
    <w:p w14:paraId="6D61DA45"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 xml:space="preserve">В рамках компетенции, установленной Договором о Евразийском экономическом союзе от 29 мая 2014 года, Комиссия продолжит деятельность, связанную с ее участием в других отраслевых выставках, форумах, конференциях, в </w:t>
      </w:r>
      <w:r>
        <w:rPr>
          <w:rFonts w:ascii="Sylfaen" w:hAnsi="Sylfaen" w:cs="Sylfaen"/>
          <w:sz w:val="24"/>
        </w:rPr>
        <w:lastRenderedPageBreak/>
        <w:t>том числе в области транспорта, авиации, металлообработки, станкостроения, сельского хозяйства и сельскохозяйственного машиностроения, технического регулирования,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p w14:paraId="5DFF83F3"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Актуальные вопросы развития евразийской экономической интеграции в глобальном контексте, а также вопросы международной деятельности Союза в 2018 году будут находиться в фокусе внимания Петербургского международного экономического форума, Астанинского экономического форума, Восточного экономического форума, выставочного форума «Евразийская неделя», Международного форума «Антиконтрафакт», а также других аналогичных мероприятий международного уровня, проводимых на территориях государств- членов.</w:t>
      </w:r>
    </w:p>
    <w:p w14:paraId="2E75D6EC" w14:textId="77777777" w:rsidR="00006ABD" w:rsidRDefault="00006ABD" w:rsidP="00006ABD">
      <w:pPr>
        <w:pStyle w:val="Bodytext20"/>
        <w:shd w:val="clear" w:color="auto" w:fill="auto"/>
        <w:spacing w:before="0" w:after="120" w:line="240" w:lineRule="auto"/>
        <w:ind w:right="1" w:firstLine="567"/>
        <w:rPr>
          <w:rFonts w:ascii="Sylfaen" w:hAnsi="Sylfaen" w:cs="Sylfaen"/>
          <w:sz w:val="24"/>
        </w:rPr>
      </w:pPr>
      <w:r>
        <w:rPr>
          <w:rFonts w:ascii="Sylfaen" w:hAnsi="Sylfaen" w:cs="Sylfaen"/>
          <w:sz w:val="24"/>
        </w:rPr>
        <w:t>Успешному развитию международных связей Союза будет во многом способствовать реализация мер по диверсификации экономик, росту объемов и улучшению структуры торговли и инвестиций государств-членов, а также устранение барьеров, изъятий и ограничений на внутреннем рынке Союза.</w:t>
      </w:r>
    </w:p>
    <w:p w14:paraId="79C2E6CF" w14:textId="77777777" w:rsidR="00006ABD" w:rsidRDefault="00006ABD" w:rsidP="00006ABD">
      <w:pPr>
        <w:pStyle w:val="Bodytext20"/>
        <w:shd w:val="clear" w:color="auto" w:fill="auto"/>
        <w:spacing w:before="0" w:after="120" w:line="240" w:lineRule="auto"/>
        <w:ind w:right="1" w:firstLine="567"/>
        <w:rPr>
          <w:rFonts w:ascii="Sylfaen" w:hAnsi="Sylfaen" w:cs="Sylfaen"/>
          <w:szCs w:val="2"/>
        </w:rPr>
      </w:pPr>
      <w:r>
        <w:rPr>
          <w:rFonts w:ascii="Sylfaen" w:hAnsi="Sylfaen" w:cs="Sylfaen"/>
          <w:sz w:val="24"/>
        </w:rPr>
        <w:t>Реализация настоящих Основных направлений обеспечит осуществление международной деятельности Союза на системной основе и будет способствовать созданию предпосылок для формирования экономического партнерства с широким интеграционным контуром на пространстве Евразии.</w:t>
      </w:r>
    </w:p>
    <w:p w14:paraId="7A21FB27" w14:textId="77777777" w:rsidR="002C2D1F" w:rsidRPr="00006ABD" w:rsidRDefault="002C2D1F" w:rsidP="00006ABD">
      <w:bookmarkStart w:id="0" w:name="_GoBack"/>
      <w:bookmarkEnd w:id="0"/>
    </w:p>
    <w:sectPr w:rsidR="002C2D1F" w:rsidRPr="00006ABD" w:rsidSect="009A09EE">
      <w:pgSz w:w="11909" w:h="16840" w:code="9"/>
      <w:pgMar w:top="1418" w:right="1418" w:bottom="141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006ABD"/>
    <w:rsid w:val="000C3220"/>
    <w:rsid w:val="001133E8"/>
    <w:rsid w:val="002240E7"/>
    <w:rsid w:val="002A3881"/>
    <w:rsid w:val="002A724E"/>
    <w:rsid w:val="002B2A7D"/>
    <w:rsid w:val="002C2D1F"/>
    <w:rsid w:val="003106E8"/>
    <w:rsid w:val="005C1635"/>
    <w:rsid w:val="006B11BC"/>
    <w:rsid w:val="007D2156"/>
    <w:rsid w:val="007E1119"/>
    <w:rsid w:val="008B2A70"/>
    <w:rsid w:val="008E6667"/>
    <w:rsid w:val="00A03A44"/>
    <w:rsid w:val="00A45F8E"/>
    <w:rsid w:val="00A624BB"/>
    <w:rsid w:val="00AB6BA6"/>
    <w:rsid w:val="00AD2BFD"/>
    <w:rsid w:val="00C3767D"/>
    <w:rsid w:val="00D03225"/>
    <w:rsid w:val="00D14362"/>
    <w:rsid w:val="00D52833"/>
    <w:rsid w:val="00DC1F33"/>
    <w:rsid w:val="00E74B5C"/>
    <w:rsid w:val="00F31E5E"/>
    <w:rsid w:val="00FE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Body text (2) + 14 pt,Spacing 2 pt,Body text (2) + Lucida Sans Unicode,17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16 pt,Scale 50%"/>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6pt">
    <w:name w:val="Body text (2) + 16 pt"/>
    <w:basedOn w:val="Bodytext2"/>
    <w:rsid w:val="00D1436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Bodytext3Spacing4pt">
    <w:name w:val="Body text (3) + Spacing 4 pt"/>
    <w:basedOn w:val="Bodytext3"/>
    <w:rsid w:val="00D1436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3Spacing2pt">
    <w:name w:val="Body text (3) + Spacing 2 pt"/>
    <w:basedOn w:val="Bodytext3"/>
    <w:rsid w:val="000C3220"/>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515pt">
    <w:name w:val="Body text (5) + 15 pt"/>
    <w:aliases w:val="Not Italic"/>
    <w:basedOn w:val="Bodytext5"/>
    <w:rsid w:val="00FE7730"/>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hy-AM" w:eastAsia="hy-AM" w:bidi="hy-AM"/>
    </w:rPr>
  </w:style>
  <w:style w:type="character" w:customStyle="1" w:styleId="Bodytext4">
    <w:name w:val="Body text (4)_"/>
    <w:basedOn w:val="DefaultParagraphFont"/>
    <w:link w:val="Bodytext40"/>
    <w:rsid w:val="002C2D1F"/>
    <w:rPr>
      <w:rFonts w:ascii="Times New Roman" w:eastAsia="Times New Roman" w:hAnsi="Times New Roman" w:cs="Times New Roman"/>
      <w:sz w:val="30"/>
      <w:szCs w:val="30"/>
      <w:shd w:val="clear" w:color="auto" w:fill="FFFFFF"/>
    </w:rPr>
  </w:style>
  <w:style w:type="paragraph" w:customStyle="1" w:styleId="Bodytext40">
    <w:name w:val="Body text (4)"/>
    <w:basedOn w:val="Normal"/>
    <w:link w:val="Bodytext4"/>
    <w:rsid w:val="002C2D1F"/>
    <w:pPr>
      <w:shd w:val="clear" w:color="auto" w:fill="FFFFFF"/>
      <w:spacing w:before="480" w:line="518" w:lineRule="exact"/>
      <w:ind w:firstLine="740"/>
      <w:jc w:val="both"/>
    </w:pPr>
    <w:rPr>
      <w:rFonts w:ascii="Times New Roman" w:eastAsia="Times New Roman" w:hAnsi="Times New Roman" w:cs="Times New Roman"/>
      <w:color w:val="auto"/>
      <w:sz w:val="30"/>
      <w:szCs w:val="30"/>
      <w:lang w:val="en-US" w:eastAsia="en-US" w:bidi="ar-SA"/>
    </w:rPr>
  </w:style>
  <w:style w:type="character" w:customStyle="1" w:styleId="Bodytext2SegoeUI">
    <w:name w:val="Body text (2) + Segoe UI"/>
    <w:aliases w:val="14 pt"/>
    <w:basedOn w:val="Bodytext2"/>
    <w:rsid w:val="002C2D1F"/>
    <w:rPr>
      <w:rFonts w:ascii="Segoe UI" w:eastAsia="Segoe UI" w:hAnsi="Segoe UI" w:cs="Segoe UI"/>
      <w:color w:val="000000"/>
      <w:spacing w:val="0"/>
      <w:w w:val="100"/>
      <w:position w:val="0"/>
      <w:sz w:val="28"/>
      <w:szCs w:val="28"/>
      <w:shd w:val="clear" w:color="auto" w:fill="FFFFFF"/>
      <w:lang w:val="ru-RU" w:eastAsia="ru-RU" w:bidi="ru-RU"/>
    </w:rPr>
  </w:style>
  <w:style w:type="character" w:customStyle="1" w:styleId="Bodytext4Spacing4pt">
    <w:name w:val="Body text (4) + Spacing 4 pt"/>
    <w:basedOn w:val="Bodytext4"/>
    <w:rsid w:val="002C2D1F"/>
    <w:rPr>
      <w:rFonts w:ascii="Times New Roman" w:eastAsia="Times New Roman" w:hAnsi="Times New Roman" w:cs="Times New Roman"/>
      <w:b/>
      <w:bCs/>
      <w:color w:val="000000"/>
      <w:spacing w:val="90"/>
      <w:w w:val="100"/>
      <w:position w:val="0"/>
      <w:sz w:val="30"/>
      <w:szCs w:val="30"/>
      <w:shd w:val="clear" w:color="auto" w:fill="FFFFFF"/>
      <w:lang w:val="ru-RU" w:eastAsia="ru-RU" w:bidi="ru-RU"/>
    </w:rPr>
  </w:style>
  <w:style w:type="character" w:customStyle="1" w:styleId="Bodytext223pt">
    <w:name w:val="Body text (2) + 23 pt"/>
    <w:basedOn w:val="Bodytext2"/>
    <w:rsid w:val="002C2D1F"/>
    <w:rPr>
      <w:rFonts w:ascii="Times New Roman" w:eastAsia="Times New Roman" w:hAnsi="Times New Roman" w:cs="Times New Roman"/>
      <w:color w:val="000000"/>
      <w:spacing w:val="0"/>
      <w:w w:val="100"/>
      <w:position w:val="0"/>
      <w:sz w:val="46"/>
      <w:szCs w:val="46"/>
      <w:shd w:val="clear" w:color="auto" w:fill="FFFFFF"/>
      <w:lang w:val="ru-RU" w:eastAsia="ru-RU" w:bidi="ru-RU"/>
    </w:rPr>
  </w:style>
  <w:style w:type="character" w:customStyle="1" w:styleId="Tablecaption">
    <w:name w:val="Table caption_"/>
    <w:basedOn w:val="DefaultParagraphFont"/>
    <w:link w:val="Tablecaption0"/>
    <w:rsid w:val="002C2D1F"/>
    <w:rPr>
      <w:rFonts w:ascii="Times New Roman" w:eastAsia="Times New Roman" w:hAnsi="Times New Roman" w:cs="Times New Roman"/>
      <w:b/>
      <w:bCs/>
      <w:sz w:val="28"/>
      <w:szCs w:val="28"/>
      <w:shd w:val="clear" w:color="auto" w:fill="FFFFFF"/>
    </w:rPr>
  </w:style>
  <w:style w:type="character" w:customStyle="1" w:styleId="TablecaptionSpacing4pt">
    <w:name w:val="Table caption + Spacing 4 pt"/>
    <w:basedOn w:val="Tablecaption"/>
    <w:rsid w:val="002C2D1F"/>
    <w:rPr>
      <w:rFonts w:ascii="Times New Roman" w:eastAsia="Times New Roman" w:hAnsi="Times New Roman" w:cs="Times New Roman"/>
      <w:b/>
      <w:bCs/>
      <w:color w:val="000000"/>
      <w:spacing w:val="90"/>
      <w:w w:val="100"/>
      <w:position w:val="0"/>
      <w:sz w:val="28"/>
      <w:szCs w:val="28"/>
      <w:shd w:val="clear" w:color="auto" w:fill="FFFFFF"/>
      <w:lang w:val="ru-RU" w:eastAsia="ru-RU" w:bidi="ru-RU"/>
    </w:rPr>
  </w:style>
  <w:style w:type="paragraph" w:customStyle="1" w:styleId="Tablecaption0">
    <w:name w:val="Table caption"/>
    <w:basedOn w:val="Normal"/>
    <w:link w:val="Tablecaption"/>
    <w:rsid w:val="002C2D1F"/>
    <w:pPr>
      <w:shd w:val="clear" w:color="auto" w:fill="FFFFFF"/>
      <w:spacing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2Verdana">
    <w:name w:val="Body text (2) + Verdana"/>
    <w:basedOn w:val="Bodytext2"/>
    <w:rsid w:val="002C2D1F"/>
    <w:rPr>
      <w:rFonts w:ascii="Verdana" w:eastAsia="Verdana" w:hAnsi="Verdana" w:cs="Verdana"/>
      <w:color w:val="000000"/>
      <w:spacing w:val="0"/>
      <w:w w:val="100"/>
      <w:position w:val="0"/>
      <w:sz w:val="28"/>
      <w:szCs w:val="28"/>
      <w:shd w:val="clear" w:color="auto" w:fill="FFFFFF"/>
      <w:lang w:val="ru-RU" w:eastAsia="ru-RU" w:bidi="ru-RU"/>
    </w:rPr>
  </w:style>
  <w:style w:type="character" w:customStyle="1" w:styleId="Tablecaption2">
    <w:name w:val="Table caption (2)_"/>
    <w:basedOn w:val="DefaultParagraphFont"/>
    <w:link w:val="Tablecaption20"/>
    <w:rsid w:val="002C2D1F"/>
    <w:rPr>
      <w:rFonts w:ascii="Times New Roman" w:eastAsia="Times New Roman" w:hAnsi="Times New Roman" w:cs="Times New Roman"/>
      <w:spacing w:val="90"/>
      <w:sz w:val="30"/>
      <w:szCs w:val="30"/>
      <w:shd w:val="clear" w:color="auto" w:fill="FFFFFF"/>
    </w:rPr>
  </w:style>
  <w:style w:type="paragraph" w:customStyle="1" w:styleId="Tablecaption20">
    <w:name w:val="Table caption (2)"/>
    <w:basedOn w:val="Normal"/>
    <w:link w:val="Tablecaption2"/>
    <w:rsid w:val="002C2D1F"/>
    <w:pPr>
      <w:shd w:val="clear" w:color="auto" w:fill="FFFFFF"/>
      <w:spacing w:line="0" w:lineRule="atLeast"/>
    </w:pPr>
    <w:rPr>
      <w:rFonts w:ascii="Times New Roman" w:eastAsia="Times New Roman" w:hAnsi="Times New Roman" w:cs="Times New Roman"/>
      <w:color w:val="auto"/>
      <w:spacing w:val="90"/>
      <w:sz w:val="30"/>
      <w:szCs w:val="30"/>
      <w:lang w:val="en-US" w:eastAsia="en-US" w:bidi="ar-SA"/>
    </w:rPr>
  </w:style>
  <w:style w:type="character" w:customStyle="1" w:styleId="Tablecaption3">
    <w:name w:val="Table caption (3)_"/>
    <w:basedOn w:val="DefaultParagraphFont"/>
    <w:link w:val="Tablecaption30"/>
    <w:rsid w:val="002C2D1F"/>
    <w:rPr>
      <w:rFonts w:ascii="Times New Roman" w:eastAsia="Times New Roman" w:hAnsi="Times New Roman" w:cs="Times New Roman"/>
      <w:b/>
      <w:bCs/>
      <w:sz w:val="28"/>
      <w:szCs w:val="28"/>
      <w:shd w:val="clear" w:color="auto" w:fill="FFFFFF"/>
    </w:rPr>
  </w:style>
  <w:style w:type="character" w:customStyle="1" w:styleId="Tablecaption3Spacing4pt">
    <w:name w:val="Table caption (3) + Spacing 4 pt"/>
    <w:basedOn w:val="Tablecaption3"/>
    <w:rsid w:val="002C2D1F"/>
    <w:rPr>
      <w:rFonts w:ascii="Times New Roman" w:eastAsia="Times New Roman" w:hAnsi="Times New Roman" w:cs="Times New Roman"/>
      <w:b/>
      <w:bCs/>
      <w:color w:val="000000"/>
      <w:spacing w:val="90"/>
      <w:w w:val="100"/>
      <w:position w:val="0"/>
      <w:sz w:val="28"/>
      <w:szCs w:val="28"/>
      <w:shd w:val="clear" w:color="auto" w:fill="FFFFFF"/>
      <w:lang w:val="ru-RU" w:eastAsia="ru-RU" w:bidi="ru-RU"/>
    </w:rPr>
  </w:style>
  <w:style w:type="paragraph" w:customStyle="1" w:styleId="Tablecaption30">
    <w:name w:val="Table caption (3)"/>
    <w:basedOn w:val="Normal"/>
    <w:link w:val="Tablecaption3"/>
    <w:rsid w:val="002C2D1F"/>
    <w:pPr>
      <w:shd w:val="clear" w:color="auto" w:fill="FFFFFF"/>
      <w:spacing w:line="0" w:lineRule="atLeast"/>
    </w:pPr>
    <w:rPr>
      <w:rFonts w:ascii="Times New Roman" w:eastAsia="Times New Roman" w:hAnsi="Times New Roman" w:cs="Times New Roman"/>
      <w:b/>
      <w:bCs/>
      <w:color w:val="auto"/>
      <w:sz w:val="28"/>
      <w:szCs w:val="28"/>
      <w:lang w:val="en-US" w:eastAsia="en-US" w:bidi="ar-SA"/>
    </w:rPr>
  </w:style>
  <w:style w:type="character" w:customStyle="1" w:styleId="Bodytext3Spacing5pt">
    <w:name w:val="Body text (3) + Spacing 5 pt"/>
    <w:basedOn w:val="Bodytext3"/>
    <w:rsid w:val="002C2D1F"/>
    <w:rPr>
      <w:rFonts w:ascii="Times New Roman" w:eastAsia="Times New Roman" w:hAnsi="Times New Roman" w:cs="Times New Roman"/>
      <w:b/>
      <w:bCs/>
      <w:color w:val="000000"/>
      <w:spacing w:val="110"/>
      <w:w w:val="100"/>
      <w:position w:val="0"/>
      <w:sz w:val="30"/>
      <w:szCs w:val="30"/>
      <w:shd w:val="clear" w:color="auto" w:fill="FFFFFF"/>
      <w:lang w:val="ru-RU" w:eastAsia="ru-RU" w:bidi="ru-RU"/>
    </w:rPr>
  </w:style>
  <w:style w:type="character" w:customStyle="1" w:styleId="TablecaptionSpacing2pt">
    <w:name w:val="Table caption + Spacing 2 pt"/>
    <w:basedOn w:val="Tablecaption"/>
    <w:rsid w:val="002C2D1F"/>
    <w:rPr>
      <w:rFonts w:ascii="Times New Roman" w:eastAsia="Times New Roman" w:hAnsi="Times New Roman" w:cs="Times New Roman"/>
      <w:b/>
      <w:bCs/>
      <w:color w:val="000000"/>
      <w:spacing w:val="4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906628">
      <w:bodyDiv w:val="1"/>
      <w:marLeft w:val="0"/>
      <w:marRight w:val="0"/>
      <w:marTop w:val="0"/>
      <w:marBottom w:val="0"/>
      <w:divBdr>
        <w:top w:val="none" w:sz="0" w:space="0" w:color="auto"/>
        <w:left w:val="none" w:sz="0" w:space="0" w:color="auto"/>
        <w:bottom w:val="none" w:sz="0" w:space="0" w:color="auto"/>
        <w:right w:val="none" w:sz="0" w:space="0" w:color="auto"/>
      </w:divBdr>
    </w:div>
    <w:div w:id="1263878242">
      <w:bodyDiv w:val="1"/>
      <w:marLeft w:val="0"/>
      <w:marRight w:val="0"/>
      <w:marTop w:val="0"/>
      <w:marBottom w:val="0"/>
      <w:divBdr>
        <w:top w:val="none" w:sz="0" w:space="0" w:color="auto"/>
        <w:left w:val="none" w:sz="0" w:space="0" w:color="auto"/>
        <w:bottom w:val="none" w:sz="0" w:space="0" w:color="auto"/>
        <w:right w:val="none" w:sz="0" w:space="0" w:color="auto"/>
      </w:divBdr>
    </w:div>
    <w:div w:id="1265571670">
      <w:bodyDiv w:val="1"/>
      <w:marLeft w:val="0"/>
      <w:marRight w:val="0"/>
      <w:marTop w:val="0"/>
      <w:marBottom w:val="0"/>
      <w:divBdr>
        <w:top w:val="none" w:sz="0" w:space="0" w:color="auto"/>
        <w:left w:val="none" w:sz="0" w:space="0" w:color="auto"/>
        <w:bottom w:val="none" w:sz="0" w:space="0" w:color="auto"/>
        <w:right w:val="none" w:sz="0" w:space="0" w:color="auto"/>
      </w:divBdr>
    </w:div>
    <w:div w:id="1854490687">
      <w:bodyDiv w:val="1"/>
      <w:marLeft w:val="0"/>
      <w:marRight w:val="0"/>
      <w:marTop w:val="0"/>
      <w:marBottom w:val="0"/>
      <w:divBdr>
        <w:top w:val="none" w:sz="0" w:space="0" w:color="auto"/>
        <w:left w:val="none" w:sz="0" w:space="0" w:color="auto"/>
        <w:bottom w:val="none" w:sz="0" w:space="0" w:color="auto"/>
        <w:right w:val="none" w:sz="0" w:space="0" w:color="auto"/>
      </w:divBdr>
    </w:div>
    <w:div w:id="20645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24</cp:revision>
  <dcterms:created xsi:type="dcterms:W3CDTF">2019-09-18T10:38:00Z</dcterms:created>
  <dcterms:modified xsi:type="dcterms:W3CDTF">2019-09-19T13:21:00Z</dcterms:modified>
</cp:coreProperties>
</file>