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53" w:rsidRPr="006222F7" w:rsidRDefault="00867F89" w:rsidP="007B14A7">
      <w:pPr>
        <w:pStyle w:val="Bodytext20"/>
        <w:shd w:val="clear" w:color="auto" w:fill="auto"/>
        <w:spacing w:before="0" w:after="120" w:line="240" w:lineRule="auto"/>
        <w:ind w:left="4536"/>
        <w:jc w:val="center"/>
        <w:rPr>
          <w:rFonts w:ascii="Sylfaen" w:hAnsi="Sylfaen"/>
          <w:sz w:val="24"/>
          <w:szCs w:val="24"/>
        </w:rPr>
      </w:pPr>
      <w:bookmarkStart w:id="0" w:name="_GoBack"/>
      <w:bookmarkEnd w:id="0"/>
      <w:r w:rsidRPr="006222F7">
        <w:rPr>
          <w:rFonts w:ascii="Sylfaen" w:hAnsi="Sylfaen"/>
          <w:sz w:val="24"/>
          <w:szCs w:val="24"/>
        </w:rPr>
        <w:t>УТВЕРЖДЕНЫ</w:t>
      </w:r>
    </w:p>
    <w:p w:rsidR="007B14A7" w:rsidRPr="007B14A7" w:rsidRDefault="00867F89" w:rsidP="007B14A7">
      <w:pPr>
        <w:pStyle w:val="Bodytext20"/>
        <w:shd w:val="clear" w:color="auto" w:fill="auto"/>
        <w:spacing w:before="0" w:after="120" w:line="240" w:lineRule="auto"/>
        <w:ind w:left="4536"/>
        <w:jc w:val="center"/>
        <w:rPr>
          <w:rFonts w:ascii="Sylfaen" w:hAnsi="Sylfaen"/>
          <w:sz w:val="24"/>
          <w:szCs w:val="24"/>
        </w:rPr>
      </w:pPr>
      <w:r w:rsidRPr="006222F7">
        <w:rPr>
          <w:rFonts w:ascii="Sylfaen" w:hAnsi="Sylfaen"/>
          <w:sz w:val="24"/>
          <w:szCs w:val="24"/>
        </w:rPr>
        <w:t>Решением Высшего Евр</w:t>
      </w:r>
      <w:r w:rsidR="007B14A7">
        <w:rPr>
          <w:rFonts w:ascii="Sylfaen" w:hAnsi="Sylfaen"/>
          <w:sz w:val="24"/>
          <w:szCs w:val="24"/>
        </w:rPr>
        <w:t>азийского экономического совета</w:t>
      </w:r>
    </w:p>
    <w:p w:rsidR="00A50A53" w:rsidRPr="006222F7" w:rsidRDefault="00867F89" w:rsidP="007B14A7">
      <w:pPr>
        <w:pStyle w:val="Bodytext20"/>
        <w:shd w:val="clear" w:color="auto" w:fill="auto"/>
        <w:spacing w:before="0" w:after="120" w:line="240" w:lineRule="auto"/>
        <w:ind w:left="4536"/>
        <w:jc w:val="center"/>
        <w:rPr>
          <w:rFonts w:ascii="Sylfaen" w:hAnsi="Sylfaen"/>
          <w:sz w:val="24"/>
          <w:szCs w:val="24"/>
        </w:rPr>
      </w:pPr>
      <w:r w:rsidRPr="006222F7">
        <w:rPr>
          <w:rFonts w:ascii="Sylfaen" w:hAnsi="Sylfaen"/>
          <w:sz w:val="24"/>
          <w:szCs w:val="24"/>
        </w:rPr>
        <w:t>от 26 декабря 2016 г. №18</w:t>
      </w:r>
    </w:p>
    <w:p w:rsidR="004A41E2" w:rsidRPr="007B14A7" w:rsidRDefault="004A41E2" w:rsidP="006222F7">
      <w:pPr>
        <w:pStyle w:val="Bodytext30"/>
        <w:shd w:val="clear" w:color="auto" w:fill="auto"/>
        <w:spacing w:before="0" w:after="120" w:line="240" w:lineRule="auto"/>
        <w:ind w:right="100" w:firstLine="0"/>
        <w:rPr>
          <w:rStyle w:val="Bodytext3Spacing2pt"/>
          <w:rFonts w:ascii="Sylfaen" w:hAnsi="Sylfaen"/>
          <w:b/>
          <w:bCs/>
          <w:spacing w:val="0"/>
          <w:sz w:val="24"/>
          <w:szCs w:val="24"/>
        </w:rPr>
      </w:pPr>
    </w:p>
    <w:p w:rsidR="004A41E2" w:rsidRPr="006222F7" w:rsidRDefault="00867F89" w:rsidP="007B14A7">
      <w:pPr>
        <w:pStyle w:val="Bodytext30"/>
        <w:shd w:val="clear" w:color="auto" w:fill="auto"/>
        <w:spacing w:before="0" w:after="120" w:line="240" w:lineRule="auto"/>
        <w:ind w:left="1134" w:right="1126" w:firstLine="0"/>
        <w:rPr>
          <w:rStyle w:val="Bodytext3Spacing2pt"/>
          <w:rFonts w:ascii="Sylfaen" w:hAnsi="Sylfaen"/>
          <w:b/>
          <w:bCs/>
          <w:spacing w:val="0"/>
          <w:sz w:val="24"/>
          <w:szCs w:val="24"/>
        </w:rPr>
      </w:pPr>
      <w:r w:rsidRPr="006222F7">
        <w:rPr>
          <w:rStyle w:val="Bodytext3Spacing2pt"/>
          <w:rFonts w:ascii="Sylfaen" w:hAnsi="Sylfaen"/>
          <w:b/>
          <w:bCs/>
          <w:spacing w:val="0"/>
          <w:sz w:val="24"/>
          <w:szCs w:val="24"/>
        </w:rPr>
        <w:t>ОСНОВНЫЕ НАПРАВЛЕНИЯ</w:t>
      </w:r>
      <w:r w:rsidR="004A41E2" w:rsidRPr="006222F7">
        <w:rPr>
          <w:rStyle w:val="Bodytext3Spacing2pt"/>
          <w:rFonts w:ascii="Sylfaen" w:hAnsi="Sylfaen"/>
          <w:b/>
          <w:bCs/>
          <w:spacing w:val="0"/>
          <w:sz w:val="24"/>
          <w:szCs w:val="24"/>
        </w:rPr>
        <w:t xml:space="preserve"> </w:t>
      </w:r>
    </w:p>
    <w:p w:rsidR="00A50A53" w:rsidRPr="006222F7" w:rsidRDefault="00867F89" w:rsidP="007B14A7">
      <w:pPr>
        <w:pStyle w:val="Bodytext30"/>
        <w:shd w:val="clear" w:color="auto" w:fill="auto"/>
        <w:spacing w:before="0" w:after="120" w:line="240" w:lineRule="auto"/>
        <w:ind w:left="1134" w:right="1126" w:firstLine="0"/>
        <w:rPr>
          <w:rFonts w:ascii="Sylfaen" w:hAnsi="Sylfaen"/>
          <w:sz w:val="24"/>
          <w:szCs w:val="24"/>
        </w:rPr>
      </w:pPr>
      <w:r w:rsidRPr="006222F7">
        <w:rPr>
          <w:rFonts w:ascii="Sylfaen" w:hAnsi="Sylfaen"/>
          <w:sz w:val="24"/>
          <w:szCs w:val="24"/>
        </w:rPr>
        <w:t>международной деятельности</w:t>
      </w:r>
      <w:r w:rsidR="004A41E2" w:rsidRPr="006222F7">
        <w:rPr>
          <w:rFonts w:ascii="Sylfaen" w:hAnsi="Sylfaen"/>
          <w:sz w:val="24"/>
          <w:szCs w:val="24"/>
        </w:rPr>
        <w:t xml:space="preserve"> </w:t>
      </w:r>
      <w:r w:rsidRPr="006222F7">
        <w:rPr>
          <w:rFonts w:ascii="Sylfaen" w:hAnsi="Sylfaen"/>
          <w:sz w:val="24"/>
          <w:szCs w:val="24"/>
        </w:rPr>
        <w:t>Евразийского экономического союза на 2017 год</w:t>
      </w:r>
    </w:p>
    <w:p w:rsidR="006222F7" w:rsidRPr="007B14A7" w:rsidRDefault="006222F7" w:rsidP="007B14A7">
      <w:pPr>
        <w:pStyle w:val="Bodytext20"/>
        <w:shd w:val="clear" w:color="auto" w:fill="auto"/>
        <w:spacing w:before="0" w:after="120" w:line="240" w:lineRule="auto"/>
        <w:ind w:left="1134" w:right="1126"/>
        <w:jc w:val="center"/>
        <w:rPr>
          <w:rFonts w:ascii="Sylfaen" w:hAnsi="Sylfaen"/>
          <w:sz w:val="24"/>
          <w:szCs w:val="24"/>
        </w:rPr>
      </w:pPr>
    </w:p>
    <w:p w:rsidR="00A50A53" w:rsidRPr="006222F7" w:rsidRDefault="00867F89" w:rsidP="007B14A7">
      <w:pPr>
        <w:pStyle w:val="Bodytext20"/>
        <w:shd w:val="clear" w:color="auto" w:fill="auto"/>
        <w:tabs>
          <w:tab w:val="left" w:pos="1134"/>
        </w:tabs>
        <w:spacing w:before="0" w:after="120" w:line="240" w:lineRule="auto"/>
        <w:ind w:left="1134" w:right="1126"/>
        <w:jc w:val="center"/>
        <w:rPr>
          <w:rFonts w:ascii="Sylfaen" w:hAnsi="Sylfaen"/>
          <w:sz w:val="24"/>
          <w:szCs w:val="24"/>
        </w:rPr>
      </w:pPr>
      <w:r w:rsidRPr="006222F7">
        <w:rPr>
          <w:rFonts w:ascii="Sylfaen" w:hAnsi="Sylfaen"/>
          <w:sz w:val="24"/>
          <w:szCs w:val="24"/>
        </w:rPr>
        <w:t>I. Основные положения о международной деятельности</w:t>
      </w:r>
      <w:r w:rsidR="004A41E2" w:rsidRPr="006222F7">
        <w:rPr>
          <w:rFonts w:ascii="Sylfaen" w:hAnsi="Sylfaen"/>
          <w:sz w:val="24"/>
          <w:szCs w:val="24"/>
        </w:rPr>
        <w:t xml:space="preserve"> </w:t>
      </w:r>
      <w:r w:rsidRPr="006222F7">
        <w:rPr>
          <w:rFonts w:ascii="Sylfaen" w:hAnsi="Sylfaen"/>
          <w:sz w:val="24"/>
          <w:szCs w:val="24"/>
        </w:rPr>
        <w:t>Евразийского экономического союза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Настоящие Основные направления разработаны в соответствии с пунктом 5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с учетом целей Евразийского экономического Союза (далее - Союз), указанных в статье 4 Договора о Евразийском экономическом союзе от 29 мая 2014 года, и призваны способствовать экономическому росту, диверсификации экономик государств - членов Союза (далее - государства-члены), наращиванию и реализации экспортного потенциала, позиционированию Союза как надежного, предсказуемого партнера на международной арене.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w:t>
      </w:r>
    </w:p>
    <w:p w:rsidR="006222F7" w:rsidRPr="007B14A7" w:rsidRDefault="006222F7" w:rsidP="007B14A7">
      <w:pPr>
        <w:pStyle w:val="Bodytext20"/>
        <w:shd w:val="clear" w:color="auto" w:fill="auto"/>
        <w:spacing w:before="0" w:after="120" w:line="240" w:lineRule="auto"/>
        <w:ind w:right="-8" w:firstLine="567"/>
        <w:rPr>
          <w:rFonts w:ascii="Sylfaen" w:hAnsi="Sylfaen"/>
          <w:sz w:val="24"/>
          <w:szCs w:val="24"/>
        </w:rPr>
      </w:pPr>
    </w:p>
    <w:p w:rsidR="00A50A53" w:rsidRPr="006222F7" w:rsidRDefault="00867F89" w:rsidP="006222F7">
      <w:pPr>
        <w:pStyle w:val="Bodytext20"/>
        <w:shd w:val="clear" w:color="auto" w:fill="auto"/>
        <w:spacing w:before="0" w:after="120" w:line="240" w:lineRule="auto"/>
        <w:jc w:val="center"/>
        <w:rPr>
          <w:rFonts w:ascii="Sylfaen" w:hAnsi="Sylfaen"/>
          <w:sz w:val="24"/>
          <w:szCs w:val="24"/>
        </w:rPr>
      </w:pPr>
      <w:r w:rsidRPr="006222F7">
        <w:rPr>
          <w:rFonts w:ascii="Sylfaen" w:hAnsi="Sylfaen"/>
          <w:sz w:val="24"/>
          <w:szCs w:val="24"/>
        </w:rPr>
        <w:t>II. Направления международной деятельности на 2017 год</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При осуществлении Союзом международной деятельности в 2017 году приоритетными являются следующие направления:</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взаимодействие с региональными интеграционными объединениями, международными организациями, правительствами третьих государств и бизнес-сообществами в целях выявления возможных форм и конкретных направлений сотрудничества, формирования позитивного представления о Союзе, проведения презентаций Союза и совместных профильных мероприятий на различных международных площадках;</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взаимодействие с региональными интеграционными объединениями, международными организациями, правительствами третьих государств и бизнес-сообществами, которые проявляют заинтересованность в сотрудничестве с Союзом, в целях проведения с ними переговоров официальных представителей Евразийской экономической комиссии (далее - Комиссия), заключения международных </w:t>
      </w:r>
      <w:r w:rsidRPr="006222F7">
        <w:rPr>
          <w:rFonts w:ascii="Sylfaen" w:hAnsi="Sylfaen"/>
          <w:sz w:val="24"/>
          <w:szCs w:val="24"/>
        </w:rPr>
        <w:lastRenderedPageBreak/>
        <w:t>договоров, в том числе о торгово-экономическом сотрудничестве и формировании зон свободной торговли, подготовки и подписания меморандумов о взаимопонимании, а также обеспечения работы в рамках подписанных ранее меморандумов;</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взаимодействие с торгово-экономическими партнерами Союза в целях содействия повышению объемов и улучшению структуры торговли и инвестиций, продвижению интеграционных процессов, инновационному развитию государств-членов, а также дальнейшему развитию Союза как эффективной и конкурентоспособной организации в международном масштабе.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Основные усилия в области международной деятельности Союза и его государств-членов в 2017 году будут сосредоточены на развитии взаимодействия:</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Style w:val="Bodytext2Italic"/>
          <w:rFonts w:ascii="Sylfaen" w:hAnsi="Sylfaen"/>
          <w:sz w:val="24"/>
          <w:szCs w:val="24"/>
        </w:rPr>
        <w:t>с государствами — участниками Содружества Независимых Государств (СНГ),</w:t>
      </w:r>
      <w:r w:rsidRPr="006222F7">
        <w:rPr>
          <w:rFonts w:ascii="Sylfaen" w:hAnsi="Sylfaen"/>
          <w:sz w:val="24"/>
          <w:szCs w:val="24"/>
        </w:rPr>
        <w:t xml:space="preserve"> не являющимися членами Союза, с Исполнительным комитетом СНГ по вопросам, входящим в его компетенцию, а также с Постоянным Комитетом Союзного государства;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Style w:val="Bodytext2Italic"/>
          <w:rFonts w:ascii="Sylfaen" w:hAnsi="Sylfaen"/>
          <w:sz w:val="24"/>
          <w:szCs w:val="24"/>
        </w:rPr>
        <w:t>с европейскими государствами, Европейским союзом, другими региональными интеграционными объединениями в Европе и функционирующими в европейском регионе организациями,</w:t>
      </w:r>
      <w:r w:rsidRPr="006222F7">
        <w:rPr>
          <w:rFonts w:ascii="Sylfaen" w:hAnsi="Sylfaen"/>
          <w:sz w:val="24"/>
          <w:szCs w:val="24"/>
        </w:rPr>
        <w:t xml:space="preserve"> включая Организацию по безопасности и сотрудничеству в Европе, Центральноевропейскую инициативу, Организацию Черноморского экономического сотрудничества, Европейскую ассоциацию свободной торговли и др. 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 бизнес-сообществ и научных кругов европейских государств, а также их инициативы по организации мероприятий, посвященных взаимодействию Союза и Европейского союза. Будет продолжена работа Комиссии по установлению прямых контактов с Европейской комиссией. Продолжится работа по проведению переговоров с Республикой Сербией об унификации торгового режима с Союзом и его государствами-членами после утверждения соответствующих директив;</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Style w:val="Bodytext2Italic"/>
          <w:rFonts w:ascii="Sylfaen" w:hAnsi="Sylfaen"/>
          <w:sz w:val="24"/>
          <w:szCs w:val="24"/>
        </w:rPr>
        <w:t>с государствами Северной Америки, интеграционными объединениями и бизнес-сообществами данного региона,</w:t>
      </w:r>
      <w:r w:rsidRPr="006222F7">
        <w:rPr>
          <w:rFonts w:ascii="Sylfaen" w:hAnsi="Sylfaen"/>
          <w:sz w:val="24"/>
          <w:szCs w:val="24"/>
        </w:rPr>
        <w:t xml:space="preserve"> в первую очередь с Соединенными Штатами Америки, Канадой, Мексиканскими Соединенными Штатами, а также с Североамериканской ассоциацией свободной торговли (НАФТА);</w:t>
      </w:r>
    </w:p>
    <w:p w:rsidR="00A50A53" w:rsidRPr="006222F7" w:rsidRDefault="00867F89" w:rsidP="007B14A7">
      <w:pPr>
        <w:pStyle w:val="Bodytext50"/>
        <w:shd w:val="clear" w:color="auto" w:fill="auto"/>
        <w:spacing w:after="120" w:line="240" w:lineRule="auto"/>
        <w:ind w:right="-8" w:firstLine="567"/>
        <w:rPr>
          <w:rFonts w:ascii="Sylfaen" w:hAnsi="Sylfaen"/>
          <w:sz w:val="24"/>
          <w:szCs w:val="24"/>
        </w:rPr>
      </w:pPr>
      <w:r w:rsidRPr="006222F7">
        <w:rPr>
          <w:rStyle w:val="Bodytext5NotItalic"/>
          <w:rFonts w:ascii="Sylfaen" w:hAnsi="Sylfaen"/>
          <w:sz w:val="24"/>
          <w:szCs w:val="24"/>
        </w:rPr>
        <w:t xml:space="preserve">с </w:t>
      </w:r>
      <w:r w:rsidRPr="006222F7">
        <w:rPr>
          <w:rFonts w:ascii="Sylfaen" w:hAnsi="Sylfaen"/>
          <w:sz w:val="24"/>
          <w:szCs w:val="24"/>
        </w:rPr>
        <w:t>государствами Азии ы интеграционными объединениями в Азиатско-Тихоокеанском регионе</w:t>
      </w:r>
      <w:r w:rsidRPr="006222F7">
        <w:rPr>
          <w:rStyle w:val="Bodytext5NotItalic"/>
          <w:rFonts w:ascii="Sylfaen" w:hAnsi="Sylfaen"/>
          <w:sz w:val="24"/>
          <w:szCs w:val="24"/>
        </w:rPr>
        <w:t>, в том числе: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Шанхайской организацией сотрудничества (ШОС), Центральноазиатским региональным экономическим сотрудничеством;</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экономиками - участницами форума «Азиатско-Тихоокеанское экономическое сотрудничество» (АТЭС);</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с Ассоциацией государств Юго-Восточной Азии (АСЕАН), в том числе по подготовке и подписанию меморандума о взаимодействии с АСЕАН и государствами </w:t>
      </w:r>
      <w:r w:rsidRPr="006222F7">
        <w:rPr>
          <w:rFonts w:ascii="Sylfaen" w:hAnsi="Sylfaen"/>
          <w:sz w:val="24"/>
          <w:szCs w:val="24"/>
        </w:rPr>
        <w:lastRenderedPageBreak/>
        <w:t>- членами АСЕАН;</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Китайской Народной Республикой (КНР), в том числе по заключению соглашения о торгово-экономическом сотрудничестве, соглашения об обмене информацией о товарах и транспортных средствах международной перевозки, перемещаемых через таможенные границы Союза и КНР, а также по вопросам сопряжения Союза и Экономического пояса Шелкового пути;</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Социалистической Республикой Вьетнам, в том числе по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Республикой Индией на основе результатов работы совместной исследовательской группы по изучению вопроса о целесообразности заключения соглашения о свободной торговле;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Исламской Республикой Иран в рамках завершения работы совместной исследовательской рабочей группы по изучению вопроса о целесообразности заключения соглашения о свободной торговле и проведения переговоров по заключению такого соглашения;</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Республикой Сингапур в рамках совместной исследовательской группы по изучению вопроса о целесообразности заключения соглашения о свободной торговле и проведения переговоров по заключению такого соглашения в случае принятия соответствующих решений органов Союза;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торгово-экономическими партнерами в Азии и крупными центрами финансовой активности Азиатско-Тихоокеанского региона, включая Народную Республику Бангладеш, Республику Индонезию, Республику Корея, Малайзию, Специальный административный район Гонконг, Королевство Таиланд, Японию и др. Продолжится работа по взаимодействию в рамках меморандумов о взаимопонимании и сотрудничестве между Евразийской экономической комиссией и правительствами Монголии, Республики Сингапур, Королевства Камбоджа, а также по рассмотрению перспектив формализации взаимовыгодного сотрудничества путем подписания меморандумов о взаимопонимании с другими государствами данного региона;</w:t>
      </w:r>
    </w:p>
    <w:p w:rsidR="00A50A53" w:rsidRPr="006222F7" w:rsidRDefault="00867F89" w:rsidP="007B14A7">
      <w:pPr>
        <w:pStyle w:val="Bodytext50"/>
        <w:shd w:val="clear" w:color="auto" w:fill="auto"/>
        <w:spacing w:after="120" w:line="240" w:lineRule="auto"/>
        <w:ind w:right="-8" w:firstLine="567"/>
        <w:rPr>
          <w:rFonts w:ascii="Sylfaen" w:hAnsi="Sylfaen"/>
          <w:sz w:val="24"/>
          <w:szCs w:val="24"/>
        </w:rPr>
      </w:pPr>
      <w:r w:rsidRPr="006222F7">
        <w:rPr>
          <w:rStyle w:val="Bodytext5NotItalic"/>
          <w:rFonts w:ascii="Sylfaen" w:hAnsi="Sylfaen"/>
          <w:sz w:val="24"/>
          <w:szCs w:val="24"/>
        </w:rPr>
        <w:t xml:space="preserve">с </w:t>
      </w:r>
      <w:r w:rsidRPr="006222F7">
        <w:rPr>
          <w:rFonts w:ascii="Sylfaen" w:hAnsi="Sylfaen"/>
          <w:sz w:val="24"/>
          <w:szCs w:val="24"/>
        </w:rPr>
        <w:t>государствами Латинской Америки и интеграционными объединениями в Латинской Америке</w:t>
      </w:r>
      <w:r w:rsidRPr="006222F7">
        <w:rPr>
          <w:rStyle w:val="Bodytext5NotItalic"/>
          <w:rFonts w:ascii="Sylfaen" w:hAnsi="Sylfaen"/>
          <w:sz w:val="24"/>
          <w:szCs w:val="24"/>
        </w:rPr>
        <w:t>, в том числе: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с Аргентинской Республикой, Федеративной Республикой Бразилией, Боливарианской Республикой Венесуэла, Кооперативной Республикой Гайана, Республикой Колумбией, Восточной Республикой Уругвай и др. Продолжится работа с Южноамериканским общим рынком (МЕРКОСУР) и Андским сообществом, в том числе по подписанию меморандумов о взаимопонимании между Евразийской экономической комиссией и указанными интеграционными объединениями. Продолжится работа по налаживанию взаимодействия с Тихоокеанским Альянсом, Карибским сообществом (КАРИКОМ), Латиноамериканской ассоциацией </w:t>
      </w:r>
      <w:r w:rsidRPr="006222F7">
        <w:rPr>
          <w:rFonts w:ascii="Sylfaen" w:hAnsi="Sylfaen"/>
          <w:sz w:val="24"/>
          <w:szCs w:val="24"/>
        </w:rPr>
        <w:lastRenderedPageBreak/>
        <w:t>интеграции (ЛАИ). Продолжится работа по дальнейшему взаимодействию в рамках меморандумов о взаимопонимании между Комиссией и правительствами Республики Чили и Республики Перу, а также по рассмотрению перспектив формализации взаимовыгодного сотрудничества путем подписания меморандумов о взаимопонимании с другими государствами данного региона;</w:t>
      </w:r>
    </w:p>
    <w:p w:rsidR="00A50A53" w:rsidRPr="006222F7" w:rsidRDefault="00867F89" w:rsidP="007B14A7">
      <w:pPr>
        <w:pStyle w:val="Bodytext50"/>
        <w:shd w:val="clear" w:color="auto" w:fill="auto"/>
        <w:spacing w:after="120" w:line="240" w:lineRule="auto"/>
        <w:ind w:right="-8" w:firstLine="567"/>
        <w:rPr>
          <w:rFonts w:ascii="Sylfaen" w:hAnsi="Sylfaen"/>
          <w:sz w:val="24"/>
          <w:szCs w:val="24"/>
        </w:rPr>
      </w:pPr>
      <w:r w:rsidRPr="006222F7">
        <w:rPr>
          <w:rFonts w:ascii="Sylfaen" w:hAnsi="Sylfaen"/>
          <w:sz w:val="24"/>
          <w:szCs w:val="24"/>
        </w:rPr>
        <w:t>с государствами Ближнего Востока и Африки и интеграционными объединениями этих регионов</w:t>
      </w:r>
      <w:r w:rsidRPr="006222F7">
        <w:rPr>
          <w:rStyle w:val="Bodytext5NotItalic"/>
          <w:rFonts w:ascii="Sylfaen" w:hAnsi="Sylfaen"/>
          <w:sz w:val="24"/>
          <w:szCs w:val="24"/>
        </w:rPr>
        <w:t>, в том числе: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будет продолжена работа по улучшению отношений между Союзом и Арабской Республикой Египет, а также будут проведены переговоры с Государством Израиль по заключению соглашения о зоне свободной торговли;</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будет продолжено изучение вопроса о налаживании заимодействия с Республикой Кенией, Федеративной Республикой Нигерией, Южно-Африканской Республикой, Федеративной Демократической Республикой Эфиопией. Продвижение торгово- экономических интересов Союза в Сирийской Арабской Республике будет зависеть от стабилизации ситуации в данном государстве;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будет продолжено изучение вопроса о налаживании взаимодействия с Африканским союзом, Восточноафриканским сообществом, Южноафриканским таможенным союзом, Сообществом развития Юга Африки (САДК).</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Будет продолжено осуществление взаимодействия с представителями третьих стран в рамках реализации компетенции Комиссии по применению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взаимодействие с третьими странами, международными интеграционными объединениями и международными организациями по вопросам применения мер защиты внутреннего рынка.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Будет развиваться многостороннее сотрудничество с </w:t>
      </w:r>
      <w:r w:rsidRPr="006222F7">
        <w:rPr>
          <w:rStyle w:val="Bodytext2Italic"/>
          <w:rFonts w:ascii="Sylfaen" w:hAnsi="Sylfaen"/>
          <w:sz w:val="24"/>
          <w:szCs w:val="24"/>
        </w:rPr>
        <w:t>международными организациями</w:t>
      </w:r>
      <w:r w:rsidRPr="006222F7">
        <w:rPr>
          <w:rFonts w:ascii="Sylfaen" w:hAnsi="Sylfaen"/>
          <w:sz w:val="24"/>
          <w:szCs w:val="24"/>
        </w:rPr>
        <w:t>, в том числе:</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с Организацией Объединенных Наций (ООН) и специальными учреждениями ООН (Конференцией ООН по торговле и развитию (ЮНКТАД), Межправительственной группой экспертов по законодательству и политике в области конкуренции Конференции ООН по торговле и развитию (ЮНКТАД), Центром Организации Объединенных Наций по упрощению процедур торговли и электронным деловым операциям (СЕФАКТ ООН), Организацией Объединенных Наций по промышленному развитию (ЮНИДО), Международным валютным фондом, Статистической комиссией,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Продовольственной и сельскохозяйственной организацией Объединенных Наций (ФАО), Всемирной организацией здравоохранения (ВОЗ), Международной организацией труда (МОТ), Детским фондом ООН (ЮНИСЕФ)), а также с региональными организациями Экономического и Социального совета ООН (Европейской экономической </w:t>
      </w:r>
      <w:r w:rsidRPr="006222F7">
        <w:rPr>
          <w:rFonts w:ascii="Sylfaen" w:hAnsi="Sylfaen"/>
          <w:sz w:val="24"/>
          <w:szCs w:val="24"/>
        </w:rPr>
        <w:lastRenderedPageBreak/>
        <w:t>комиссией ООН (ЕЭК ООН), Экономической и Социальной комиссией для Азии и Тихого океана (ЭСКАТО) и др.);</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с другими международными организациями (в том числе с региональными), союзами и т. п., их отраслевыми органами и учреждениями (Организацией экономического сотрудничества и развития (ОЭСР), странами БРИКС, Всемирным банком, Всемирной таможенной организацией, Всемирной организацией здравоохранения животных, Всемирным почтовым союзом, Межгосударственным авиационным комитетом,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(МСЖД), Международной организацией гражданской авиации (ИКАО),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Комитетом по международным стандартам финансовой отчетности (КМСФО), Комитетом по международным стандартам аудита и подтверждения достоверности информации, 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Международной ассоциацией по товарным знакам, Мировым энергетическим советом, Международным агентством по возобновляемым источникам энергии </w:t>
      </w:r>
      <w:r w:rsidRPr="006222F7">
        <w:rPr>
          <w:rFonts w:ascii="Sylfaen" w:hAnsi="Sylfaen"/>
          <w:sz w:val="24"/>
          <w:szCs w:val="24"/>
          <w:lang w:eastAsia="en-US" w:bidi="en-US"/>
        </w:rPr>
        <w:t>(</w:t>
      </w:r>
      <w:r w:rsidRPr="006222F7">
        <w:rPr>
          <w:rFonts w:ascii="Sylfaen" w:hAnsi="Sylfaen"/>
          <w:sz w:val="24"/>
          <w:szCs w:val="24"/>
          <w:lang w:val="en-US" w:eastAsia="en-US" w:bidi="en-US"/>
        </w:rPr>
        <w:t>IRENA</w:t>
      </w:r>
      <w:r w:rsidRPr="006222F7">
        <w:rPr>
          <w:rFonts w:ascii="Sylfaen" w:hAnsi="Sylfaen"/>
          <w:sz w:val="24"/>
          <w:szCs w:val="24"/>
          <w:lang w:eastAsia="en-US" w:bidi="en-US"/>
        </w:rPr>
        <w:t xml:space="preserve">), </w:t>
      </w:r>
      <w:r w:rsidRPr="006222F7">
        <w:rPr>
          <w:rFonts w:ascii="Sylfaen" w:hAnsi="Sylfaen"/>
          <w:sz w:val="24"/>
          <w:szCs w:val="24"/>
        </w:rPr>
        <w:t xml:space="preserve">Международным агентством по атомной энергии (МАГАТЭ), Форумом стран - экспортеров газа (ФСЭГ), Организацией стран - экспортеров нефти (ОПЕК), Мировым газовым союзом и энергетическими биржами Европы и Азии, Агентством по взаимодействию регуляторов в области энергетики, Межправительственной группой экспертов по конкурентному законодательству и политике,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Всемирной организацией интеллектуальной собственности (ВОИС), Евразийской патентной организацией (ЕАПО), Ведомством по интеллектуальной собственности Европейского союза </w:t>
      </w:r>
      <w:r w:rsidRPr="006222F7">
        <w:rPr>
          <w:rFonts w:ascii="Sylfaen" w:hAnsi="Sylfaen"/>
          <w:sz w:val="24"/>
          <w:szCs w:val="24"/>
          <w:lang w:eastAsia="en-US" w:bidi="en-US"/>
        </w:rPr>
        <w:t>(</w:t>
      </w:r>
      <w:r w:rsidRPr="006222F7">
        <w:rPr>
          <w:rFonts w:ascii="Sylfaen" w:hAnsi="Sylfaen"/>
          <w:sz w:val="24"/>
          <w:szCs w:val="24"/>
          <w:lang w:val="en-US" w:eastAsia="en-US" w:bidi="en-US"/>
        </w:rPr>
        <w:t>EUIPO</w:t>
      </w:r>
      <w:r w:rsidRPr="006222F7">
        <w:rPr>
          <w:rFonts w:ascii="Sylfaen" w:hAnsi="Sylfaen"/>
          <w:sz w:val="24"/>
          <w:szCs w:val="24"/>
          <w:lang w:eastAsia="en-US" w:bidi="en-US"/>
        </w:rPr>
        <w:t xml:space="preserve">), </w:t>
      </w:r>
      <w:r w:rsidRPr="006222F7">
        <w:rPr>
          <w:rFonts w:ascii="Sylfaen" w:hAnsi="Sylfaen"/>
          <w:sz w:val="24"/>
          <w:szCs w:val="24"/>
        </w:rPr>
        <w:t xml:space="preserve">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стандартизации, Европейским комитетом по </w:t>
      </w:r>
      <w:r w:rsidRPr="006222F7">
        <w:rPr>
          <w:rFonts w:ascii="Sylfaen" w:hAnsi="Sylfaen"/>
          <w:sz w:val="24"/>
          <w:szCs w:val="24"/>
        </w:rPr>
        <w:lastRenderedPageBreak/>
        <w:t>стандартизации в электротехнике, Генеральной ассамблеей европейского сотрудничества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Европейским энергетическим сообществом, Европейским сообществом операторов электропередающих сетей, Европейским сообществом операторов газотранспортных сетей, Советом европейских регуляторов энергетики, Агентством по окружающей среде и регулированию энергетики, Межевропейской организацией налоговых администраций, Европейской конфедерацией налоговых консультантов, Евростатом, Постоянным комитетом Европейского союза по здоровью растений, Европейской и Средиземноморской организацией по карантину и защите растений, Евро-Азиатским 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Азиатско-Тихоокеанской организацией по аккредитации лабораторий, Региональным содружеством в области связи, Координационным советом государств- участников СНГ по информатизации при Региональном содружестве в области связи (РСС), Координационным советом по карантину растений государств - участников СНГ,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ВТО, в том числе в рамках специализированных комитетов ВТО, с Советом по торговле услугами ВТО, в рабочей группе по внутреннему регулированию, а также с Органом по разрешению споров (ОРС) в рамках дел по мерам защиты внутреннего рынка Союза;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с руководящими и рабочими органами в рамках Кимберлийского процесса.</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 xml:space="preserve">Продолжится взаимодействие с </w:t>
      </w:r>
      <w:r w:rsidRPr="006222F7">
        <w:rPr>
          <w:rStyle w:val="Bodytext2Italic"/>
          <w:rFonts w:ascii="Sylfaen" w:hAnsi="Sylfaen"/>
          <w:sz w:val="24"/>
          <w:szCs w:val="24"/>
        </w:rPr>
        <w:t>международным деловым и экспертным сообществом</w:t>
      </w:r>
      <w:r w:rsidRPr="006222F7">
        <w:rPr>
          <w:rFonts w:ascii="Sylfaen" w:hAnsi="Sylfaen"/>
          <w:sz w:val="24"/>
          <w:szCs w:val="24"/>
        </w:rPr>
        <w:t xml:space="preserve">, в том числе с Всемирным экономическим форумом, торгово-промышленными палатами, советами делового сотрудничества, региональными банками развития, Конференцией «Экономическая интеграция в развивающихся странах: вызовы и возможности», Всемирным экономическим форумом для стран Латинской Америки, Конференцией Международного совета по зерну, Международной выставкой сельскохозяйственной и пищевой промышленности, Советом руководителей миграционных органов государств - участников СНГ, Межгосударственным советом по антимонопольной политике государств - участников СНГ (МСАП), Межгосударственным статистическим комитетом СНГ, Форумом мировых производителей, изданием «Всемирный обзор по конкуренции», Международным центром по налогам и инвестициям, а также участие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w:t>
      </w:r>
      <w:r w:rsidRPr="006222F7">
        <w:rPr>
          <w:rFonts w:ascii="Sylfaen" w:hAnsi="Sylfaen"/>
          <w:sz w:val="24"/>
          <w:szCs w:val="24"/>
        </w:rPr>
        <w:lastRenderedPageBreak/>
        <w:t>секторов экономики.</w:t>
      </w:r>
    </w:p>
    <w:p w:rsidR="00A50A53" w:rsidRPr="006222F7" w:rsidRDefault="00867F89" w:rsidP="007B14A7">
      <w:pPr>
        <w:pStyle w:val="Bodytext20"/>
        <w:shd w:val="clear" w:color="auto" w:fill="auto"/>
        <w:spacing w:before="0" w:after="120" w:line="240" w:lineRule="auto"/>
        <w:ind w:right="-8" w:firstLine="567"/>
        <w:rPr>
          <w:rFonts w:ascii="Sylfaen" w:hAnsi="Sylfaen"/>
          <w:sz w:val="24"/>
          <w:szCs w:val="24"/>
        </w:rPr>
      </w:pPr>
      <w:r w:rsidRPr="006222F7">
        <w:rPr>
          <w:rFonts w:ascii="Sylfaen" w:hAnsi="Sylfaen"/>
          <w:sz w:val="24"/>
          <w:szCs w:val="24"/>
        </w:rPr>
        <w:t>Актуальные вопросы развития евразийской экономической интеграции в глобальном контексте, а также вопросы международной деятельности Союза в 2017 году будут находиться в фокусе внимания Петербургского международного экономического форума, Астанинского экономического форума, Международной специализированной выставки «ЭКСПО-2017», выставочного форума «Евразийская неделя», а также других аналогичных мероприятий международного уровня, проводимых на территориях государств- членов.</w:t>
      </w:r>
    </w:p>
    <w:sectPr w:rsidR="00A50A53" w:rsidRPr="006222F7" w:rsidSect="004A41E2">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F6" w:rsidRDefault="00FD4AF6" w:rsidP="00A50A53">
      <w:r>
        <w:separator/>
      </w:r>
    </w:p>
  </w:endnote>
  <w:endnote w:type="continuationSeparator" w:id="0">
    <w:p w:rsidR="00FD4AF6" w:rsidRDefault="00FD4AF6" w:rsidP="00A5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F6" w:rsidRDefault="00FD4AF6"/>
  </w:footnote>
  <w:footnote w:type="continuationSeparator" w:id="0">
    <w:p w:rsidR="00FD4AF6" w:rsidRDefault="00FD4A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93045"/>
    <w:multiLevelType w:val="multilevel"/>
    <w:tmpl w:val="2938D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50A53"/>
    <w:rsid w:val="0015676C"/>
    <w:rsid w:val="003E1C7C"/>
    <w:rsid w:val="004A41E2"/>
    <w:rsid w:val="006222F7"/>
    <w:rsid w:val="00726D90"/>
    <w:rsid w:val="007B14A7"/>
    <w:rsid w:val="00867F89"/>
    <w:rsid w:val="00A316EF"/>
    <w:rsid w:val="00A50A53"/>
    <w:rsid w:val="00AC0C9C"/>
    <w:rsid w:val="00E45ED2"/>
    <w:rsid w:val="00F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0A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A53"/>
    <w:rPr>
      <w:color w:val="000080"/>
      <w:u w:val="single"/>
    </w:rPr>
  </w:style>
  <w:style w:type="character" w:customStyle="1" w:styleId="Heading1">
    <w:name w:val="Heading #1_"/>
    <w:basedOn w:val="DefaultParagraphFont"/>
    <w:link w:val="Heading10"/>
    <w:rsid w:val="00A50A5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basedOn w:val="DefaultParagraphFont"/>
    <w:link w:val="Bodytext30"/>
    <w:rsid w:val="00A50A53"/>
    <w:rPr>
      <w:rFonts w:ascii="Times New Roman" w:eastAsia="Times New Roman" w:hAnsi="Times New Roman" w:cs="Times New Roman"/>
      <w:b/>
      <w:bCs/>
      <w:i w:val="0"/>
      <w:iCs w:val="0"/>
      <w:smallCaps w:val="0"/>
      <w:strike w:val="0"/>
      <w:sz w:val="28"/>
      <w:szCs w:val="28"/>
      <w:u w:val="none"/>
    </w:rPr>
  </w:style>
  <w:style w:type="character" w:customStyle="1" w:styleId="Bodytext3Spacing4pt">
    <w:name w:val="Body text (3) + Spacing 4 pt"/>
    <w:basedOn w:val="Bodytext3"/>
    <w:rsid w:val="00A50A53"/>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A50A53"/>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A50A53"/>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A50A53"/>
    <w:rPr>
      <w:rFonts w:ascii="Times New Roman" w:eastAsia="Times New Roman" w:hAnsi="Times New Roman" w:cs="Times New Roman"/>
      <w:b/>
      <w:bCs/>
      <w:i w:val="0"/>
      <w:iCs w:val="0"/>
      <w:smallCaps w:val="0"/>
      <w:strike w:val="0"/>
      <w:sz w:val="28"/>
      <w:szCs w:val="28"/>
      <w:u w:val="none"/>
    </w:rPr>
  </w:style>
  <w:style w:type="character" w:customStyle="1" w:styleId="Bodytext214pt">
    <w:name w:val="Body text (2) + 14 pt"/>
    <w:aliases w:val="Bold"/>
    <w:basedOn w:val="Bodytext2"/>
    <w:rsid w:val="00A50A5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3Spacing2pt">
    <w:name w:val="Body text (3) + Spacing 2 pt"/>
    <w:basedOn w:val="Bodytext3"/>
    <w:rsid w:val="00A50A53"/>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2Italic">
    <w:name w:val="Body text (2) + Italic"/>
    <w:basedOn w:val="Bodytext2"/>
    <w:rsid w:val="00A50A53"/>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Bodytext5">
    <w:name w:val="Body text (5)_"/>
    <w:basedOn w:val="DefaultParagraphFont"/>
    <w:link w:val="Bodytext50"/>
    <w:rsid w:val="00A50A53"/>
    <w:rPr>
      <w:rFonts w:ascii="Times New Roman" w:eastAsia="Times New Roman" w:hAnsi="Times New Roman" w:cs="Times New Roman"/>
      <w:b w:val="0"/>
      <w:bCs w:val="0"/>
      <w:i/>
      <w:iCs/>
      <w:smallCaps w:val="0"/>
      <w:strike w:val="0"/>
      <w:sz w:val="30"/>
      <w:szCs w:val="30"/>
      <w:u w:val="none"/>
    </w:rPr>
  </w:style>
  <w:style w:type="character" w:customStyle="1" w:styleId="Bodytext5NotItalic">
    <w:name w:val="Body text (5) + Not Italic"/>
    <w:basedOn w:val="Bodytext5"/>
    <w:rsid w:val="00A50A53"/>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paragraph" w:customStyle="1" w:styleId="Heading10">
    <w:name w:val="Heading #1"/>
    <w:basedOn w:val="Normal"/>
    <w:link w:val="Heading1"/>
    <w:rsid w:val="00A50A53"/>
    <w:pPr>
      <w:shd w:val="clear" w:color="auto" w:fill="FFFFFF"/>
      <w:spacing w:after="960" w:line="0" w:lineRule="atLeast"/>
      <w:jc w:val="center"/>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A50A53"/>
    <w:pPr>
      <w:shd w:val="clear" w:color="auto" w:fill="FFFFFF"/>
      <w:spacing w:before="960" w:after="360" w:line="0" w:lineRule="atLeast"/>
      <w:ind w:hanging="680"/>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A50A53"/>
    <w:pPr>
      <w:shd w:val="clear" w:color="auto" w:fill="FFFFFF"/>
      <w:spacing w:before="360" w:after="78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A50A5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A50A53"/>
    <w:pPr>
      <w:shd w:val="clear" w:color="auto" w:fill="FFFFFF"/>
      <w:spacing w:line="518" w:lineRule="exact"/>
      <w:ind w:firstLine="700"/>
      <w:jc w:val="both"/>
    </w:pPr>
    <w:rPr>
      <w:rFonts w:ascii="Times New Roman" w:eastAsia="Times New Roman" w:hAnsi="Times New Roman" w:cs="Times New Roman"/>
      <w:i/>
      <w:i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6</cp:revision>
  <dcterms:created xsi:type="dcterms:W3CDTF">2017-04-07T17:49:00Z</dcterms:created>
  <dcterms:modified xsi:type="dcterms:W3CDTF">2017-12-22T12:44:00Z</dcterms:modified>
</cp:coreProperties>
</file>