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8"/>
        <w:gridCol w:w="7872"/>
      </w:tblGrid>
      <w:tr w:rsidR="00D836E5" w:rsidRPr="00D836E5" w14:paraId="355B5C1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865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Հայաստանի</w:t>
            </w: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865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865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865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865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865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865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65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65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65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65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65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65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65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65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65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65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Ծայրահեղ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65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65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65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65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865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865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65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65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65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65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865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865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65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65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865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65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865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865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865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65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65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65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65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65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65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65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65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865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865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865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865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865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65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865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865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865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865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865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865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865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865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865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865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865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865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865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865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65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865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865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865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865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865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865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215B72" w:rsidRPr="00D836E5" w14:paraId="6AA336FE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1B6D989" w14:textId="5CE0ACE8" w:rsidR="00215B72" w:rsidRPr="00D836E5" w:rsidRDefault="00215B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41.10.</w:t>
            </w:r>
          </w:p>
        </w:tc>
        <w:tc>
          <w:tcPr>
            <w:tcW w:w="7865" w:type="dxa"/>
          </w:tcPr>
          <w:p w14:paraId="1EC4454C" w14:textId="2A7EA3C6" w:rsidR="00215B72" w:rsidRPr="00215B72" w:rsidRDefault="00215B7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Ֆիթնես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մարզասրահի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գործունեությանն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առաջադրված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B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65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65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865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865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65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65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65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865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865" w:type="dxa"/>
            <w:hideMark/>
          </w:tcPr>
          <w:p w14:paraId="6C68CB79" w14:textId="25D815E0" w:rsidR="00D836E5" w:rsidRPr="001F6DB6" w:rsidRDefault="001F6D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ալկոհոլային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խմիչքների</w:t>
            </w:r>
            <w:proofErr w:type="spellEnd"/>
            <w:r w:rsidRPr="001F6DB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էներգետիկ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ըմպելիքների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գովազդին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6D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6C8E8E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865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865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865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865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865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865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865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865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865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865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865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865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865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865" w:type="dxa"/>
            <w:hideMark/>
          </w:tcPr>
          <w:p w14:paraId="6AF0BFDA" w14:textId="5D8C0D85" w:rsidR="00D836E5" w:rsidRPr="00D836E5" w:rsidRDefault="00C56C6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865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865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865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865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865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65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865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865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865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865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865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865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865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C56C6D" w:rsidRPr="00D836E5" w14:paraId="375F5616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8D7A762" w14:textId="77777777" w:rsidR="00C56C6D" w:rsidRDefault="00C56C6D" w:rsidP="001F0107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47.36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  <w:p w14:paraId="7059AB53" w14:textId="2AD49985" w:rsidR="009529CE" w:rsidRDefault="009529CE" w:rsidP="00A62CA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  <w:tc>
          <w:tcPr>
            <w:tcW w:w="7865" w:type="dxa"/>
          </w:tcPr>
          <w:p w14:paraId="3B0E870A" w14:textId="50D4C6F9" w:rsidR="009529CE" w:rsidRPr="009529CE" w:rsidRDefault="00C56C6D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eastAsia="Times New Roman" w:hAnsi="Arial Unicode" w:cs="Times New Roman"/>
                <w:b w:val="0"/>
                <w:bCs w:val="0"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համընդհանուր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գանձելը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56C6D">
              <w:rPr>
                <w:rFonts w:ascii="Arial Unicode" w:eastAsia="Times New Roman" w:hAnsi="Arial Unicode" w:cs="Times New Roman"/>
                <w:sz w:val="21"/>
                <w:szCs w:val="21"/>
              </w:rPr>
              <w:t>մերժել</w:t>
            </w:r>
            <w:proofErr w:type="spellEnd"/>
          </w:p>
        </w:tc>
      </w:tr>
      <w:tr w:rsidR="00A62CA8" w:rsidRPr="00D836E5" w14:paraId="49506CD5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798723E" w14:textId="77777777" w:rsidR="00A62CA8" w:rsidRDefault="00A62CA8" w:rsidP="00A62CA8">
            <w:pPr>
              <w:spacing w:before="100" w:beforeAutospacing="1" w:after="100" w:afterAutospacing="1" w:line="240" w:lineRule="auto"/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</w:pPr>
            <w:proofErr w:type="spellStart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56C6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C56C6D">
              <w:rPr>
                <w:rFonts w:ascii="MS Gothic" w:eastAsia="MS Gothic" w:hAnsi="MS Gothic" w:cs="MS Gothic"/>
                <w:b/>
                <w:bCs/>
                <w:sz w:val="21"/>
                <w:szCs w:val="21"/>
              </w:rPr>
              <w:t>․</w:t>
            </w:r>
          </w:p>
          <w:p w14:paraId="0147C916" w14:textId="77777777" w:rsidR="00A62CA8" w:rsidRPr="00C56C6D" w:rsidRDefault="00A62CA8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65" w:type="dxa"/>
          </w:tcPr>
          <w:p w14:paraId="39FA104F" w14:textId="06817F96" w:rsidR="00A62CA8" w:rsidRPr="00C56C6D" w:rsidRDefault="00A62CA8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օգնության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սպասարկման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ծավալի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չնախատեսված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վճարներ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գանձելը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529C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42FF895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65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65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65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65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65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865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65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865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865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865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865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865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65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65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65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65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65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65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65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865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865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65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65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65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65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65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65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65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65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65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65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65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65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65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65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65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65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65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65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65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65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65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865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865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65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65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65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865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65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865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865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65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65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865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865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865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865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865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865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65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865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865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865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865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65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65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865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65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65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65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65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65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865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865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65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65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65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65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865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865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65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65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65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65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65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65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65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65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65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865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865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865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865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65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65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865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65" w:type="dxa"/>
            <w:hideMark/>
          </w:tcPr>
          <w:p w14:paraId="091FD0C7" w14:textId="08F3869A" w:rsidR="001F0107" w:rsidRPr="00CD3139" w:rsidRDefault="00CD3139" w:rsidP="001F0107">
            <w:pPr>
              <w:spacing w:before="100" w:beforeAutospacing="1" w:after="100" w:afterAutospacing="1" w:line="240" w:lineRule="auto"/>
              <w:rPr>
                <w:rStyle w:val="Strong"/>
              </w:rPr>
            </w:pPr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պատասխանատու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վերաբերմունքի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313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117BB6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65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65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65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865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865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865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865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865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865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865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865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865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865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65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65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65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65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65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865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65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29EDD15" w14:textId="4BEA23E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  <w:r w:rsidR="007C3A1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33945CA0" w14:textId="14927EC3" w:rsidR="001F0107" w:rsidRPr="007C3A13" w:rsidRDefault="007C3A13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լուսային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ձայնային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ներառյալ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սարքավորումներ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միջոցներում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խլացուցիչներ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նվագարկիչների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ուժեղացուցիչներ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բարձրախոսներ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C3A1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78E0EE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865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865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65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865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865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865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865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65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865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65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65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65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65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865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65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65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65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65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65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65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65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865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865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865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65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65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865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865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865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65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65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65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65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65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65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65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65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65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65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65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65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65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865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865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865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865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865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865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865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1F0107" w:rsidRPr="00D836E5" w14:paraId="367F01C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65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65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865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65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65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865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65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65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865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65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865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865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865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65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865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865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65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865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865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65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65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65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65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865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65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65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65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865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65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65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65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65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865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865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865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65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865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865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865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865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865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865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865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865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865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865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865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169.34.</w:t>
            </w:r>
          </w:p>
        </w:tc>
        <w:tc>
          <w:tcPr>
            <w:tcW w:w="7865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169.35.</w:t>
            </w:r>
          </w:p>
        </w:tc>
        <w:tc>
          <w:tcPr>
            <w:tcW w:w="7865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169.36.</w:t>
            </w:r>
          </w:p>
        </w:tc>
        <w:tc>
          <w:tcPr>
            <w:tcW w:w="7865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65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865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865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65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865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865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865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865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865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865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865" w:type="dxa"/>
            <w:hideMark/>
          </w:tcPr>
          <w:p w14:paraId="58735088" w14:textId="23D5D7A0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865" w:type="dxa"/>
            <w:hideMark/>
          </w:tcPr>
          <w:p w14:paraId="7668F48D" w14:textId="7C2C4F1A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ապակողմնորոշիչ</w:t>
            </w:r>
            <w:proofErr w:type="spellEnd"/>
            <w:r w:rsidRPr="0003616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865" w:type="dxa"/>
            <w:hideMark/>
          </w:tcPr>
          <w:p w14:paraId="6E28844A" w14:textId="04AE1CED" w:rsidR="001F0107" w:rsidRPr="0003616C" w:rsidRDefault="0003616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սպառողների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շահերի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03616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3616C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865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865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65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865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865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65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865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865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65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65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65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65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65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865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865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65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65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865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65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65" w:type="dxa"/>
            <w:hideMark/>
          </w:tcPr>
          <w:p w14:paraId="44D60684" w14:textId="7F76489B" w:rsidR="001F0107" w:rsidRPr="0009688F" w:rsidRDefault="00E33C89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Ոստիկանության</w:t>
            </w:r>
            <w:proofErr w:type="spellEnd"/>
            <w:r w:rsidRPr="0009688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ծառայողի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օրինական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պահանջը</w:t>
            </w:r>
            <w:proofErr w:type="spellEnd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688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307379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lastRenderedPageBreak/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865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865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865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65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865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65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65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65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65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865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65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65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865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865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865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865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865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865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865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865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865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865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865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865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865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865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865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865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C75FBE" w:rsidRPr="00D836E5" w14:paraId="4760B3E3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DACAFB3" w14:textId="13CB42C2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29.</w:t>
            </w:r>
          </w:p>
        </w:tc>
        <w:tc>
          <w:tcPr>
            <w:tcW w:w="7865" w:type="dxa"/>
          </w:tcPr>
          <w:p w14:paraId="54DD4303" w14:textId="2F9768F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Բարձրագույն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C75FBE" w:rsidRPr="00D836E5" w14:paraId="403DA76D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1405F23" w14:textId="49E2B325" w:rsidR="00C75FBE" w:rsidRPr="00D836E5" w:rsidRDefault="00C75FBE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</w:t>
            </w:r>
          </w:p>
        </w:tc>
        <w:tc>
          <w:tcPr>
            <w:tcW w:w="7865" w:type="dxa"/>
          </w:tcPr>
          <w:p w14:paraId="5D8E897F" w14:textId="0C8FE0F9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չներկայացվելը</w:t>
            </w:r>
            <w:proofErr w:type="spellEnd"/>
          </w:p>
        </w:tc>
      </w:tr>
      <w:tr w:rsidR="001F0107" w:rsidRPr="00D836E5" w14:paraId="35048FE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65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65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65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65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865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865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Զենքի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865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65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65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65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65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65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65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65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65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65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865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865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865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65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65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A62CA8">
        <w:trPr>
          <w:trHeight w:val="33"/>
          <w:tblCellSpacing w:w="7" w:type="dxa"/>
          <w:jc w:val="center"/>
        </w:trPr>
        <w:tc>
          <w:tcPr>
            <w:tcW w:w="1843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65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865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865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65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65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A62CA8">
        <w:trPr>
          <w:trHeight w:val="33"/>
          <w:tblCellSpacing w:w="7" w:type="dxa"/>
          <w:jc w:val="center"/>
        </w:trPr>
        <w:tc>
          <w:tcPr>
            <w:tcW w:w="1843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865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865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865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865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F279B8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lastRenderedPageBreak/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865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865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865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65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65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65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65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65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65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65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865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865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65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65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65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65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65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65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65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65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65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65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865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865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65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865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865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865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65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65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65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65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65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65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865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65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65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65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65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65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65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65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65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65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65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65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65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865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865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65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65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865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lastRenderedPageBreak/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865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865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865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865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865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865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865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244.23.</w:t>
            </w:r>
          </w:p>
        </w:tc>
        <w:tc>
          <w:tcPr>
            <w:tcW w:w="7865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244.24.</w:t>
            </w:r>
          </w:p>
        </w:tc>
        <w:tc>
          <w:tcPr>
            <w:tcW w:w="7865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C75FBE" w:rsidRPr="00D836E5" w14:paraId="25096718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429DD1B5" w14:textId="09BC02F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244.25.</w:t>
            </w:r>
          </w:p>
        </w:tc>
        <w:tc>
          <w:tcPr>
            <w:tcW w:w="7865" w:type="dxa"/>
          </w:tcPr>
          <w:p w14:paraId="3B82D3F0" w14:textId="35A3BA45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Քաղաքաշինության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հրդեհային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բնագավառներում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12BB1D9E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09446BE5" w14:textId="15108FBC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244.26.</w:t>
            </w:r>
          </w:p>
        </w:tc>
        <w:tc>
          <w:tcPr>
            <w:tcW w:w="7865" w:type="dxa"/>
          </w:tcPr>
          <w:p w14:paraId="20EBD79B" w14:textId="55BB9938" w:rsidR="00C75FBE" w:rsidRPr="00C75FB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75FB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C75FBE" w:rsidRPr="00D836E5" w14:paraId="2FA15B14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113B87E6" w14:textId="438B10CD" w:rsidR="00C75FBE" w:rsidRDefault="00C75FBE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244.27.</w:t>
            </w:r>
          </w:p>
        </w:tc>
        <w:tc>
          <w:tcPr>
            <w:tcW w:w="7865" w:type="dxa"/>
          </w:tcPr>
          <w:p w14:paraId="33D93A61" w14:textId="63158618" w:rsidR="00C75FBE" w:rsidRPr="009E664E" w:rsidRDefault="00C75FBE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Ռիելթորական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9E664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E664E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65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65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865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A62CA8">
        <w:trPr>
          <w:tblCellSpacing w:w="7" w:type="dxa"/>
          <w:jc w:val="center"/>
        </w:trPr>
        <w:tc>
          <w:tcPr>
            <w:tcW w:w="1843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65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65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65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65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65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65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65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65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65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65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65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65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65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65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65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65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65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65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65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65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65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65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65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65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65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65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65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65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65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65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65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65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65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65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65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65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65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65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65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65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65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65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65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65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65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65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65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65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65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65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65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65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65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65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65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65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65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65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865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865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65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65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65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65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65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65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65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65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65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65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65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65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65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65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1F0107" w:rsidRPr="00D836E5" w14:paraId="10E01826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65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65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65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65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65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65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65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F279B8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65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65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65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65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A62CA8">
        <w:trPr>
          <w:tblCellSpacing w:w="7" w:type="dxa"/>
          <w:jc w:val="center"/>
        </w:trPr>
        <w:tc>
          <w:tcPr>
            <w:tcW w:w="1843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865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3616C"/>
    <w:rsid w:val="00046387"/>
    <w:rsid w:val="00053587"/>
    <w:rsid w:val="000621CF"/>
    <w:rsid w:val="00083AE1"/>
    <w:rsid w:val="00085F3A"/>
    <w:rsid w:val="0009688F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1F6DB6"/>
    <w:rsid w:val="00210F22"/>
    <w:rsid w:val="00215681"/>
    <w:rsid w:val="0021594C"/>
    <w:rsid w:val="00215B72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3612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399C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05A1F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3A13"/>
    <w:rsid w:val="007C7650"/>
    <w:rsid w:val="007E15DC"/>
    <w:rsid w:val="007F0428"/>
    <w:rsid w:val="007F2EDE"/>
    <w:rsid w:val="00830806"/>
    <w:rsid w:val="00833633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29CE"/>
    <w:rsid w:val="00954427"/>
    <w:rsid w:val="00954514"/>
    <w:rsid w:val="00992D31"/>
    <w:rsid w:val="009D62D2"/>
    <w:rsid w:val="009E490F"/>
    <w:rsid w:val="009E664E"/>
    <w:rsid w:val="009F0240"/>
    <w:rsid w:val="00A32E69"/>
    <w:rsid w:val="00A33CE7"/>
    <w:rsid w:val="00A34A32"/>
    <w:rsid w:val="00A5768C"/>
    <w:rsid w:val="00A62CA8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56C6D"/>
    <w:rsid w:val="00C75FBE"/>
    <w:rsid w:val="00C91063"/>
    <w:rsid w:val="00C94CF4"/>
    <w:rsid w:val="00CC0522"/>
    <w:rsid w:val="00CC44A9"/>
    <w:rsid w:val="00CD0E04"/>
    <w:rsid w:val="00CD3139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263A4"/>
    <w:rsid w:val="00E33C89"/>
    <w:rsid w:val="00E34407"/>
    <w:rsid w:val="00E365DB"/>
    <w:rsid w:val="00E71AE3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279B8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42</Pages>
  <Words>15988</Words>
  <Characters>91135</Characters>
  <Application>Microsoft Office Word</Application>
  <DocSecurity>0</DocSecurity>
  <Lines>759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Meline Yeghyan</cp:lastModifiedBy>
  <cp:revision>6</cp:revision>
  <dcterms:created xsi:type="dcterms:W3CDTF">2026-02-10T07:15:00Z</dcterms:created>
  <dcterms:modified xsi:type="dcterms:W3CDTF">2026-05-05T06:05:00Z</dcterms:modified>
</cp:coreProperties>
</file>