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6E" w:rsidRPr="007B1B96" w:rsidRDefault="007B228B" w:rsidP="0086536E">
      <w:pPr>
        <w:pStyle w:val="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ПРИНЯТ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Решением Совета</w:t>
      </w:r>
    </w:p>
    <w:p w:rsidR="0086536E" w:rsidRPr="007B1B96" w:rsidRDefault="007B228B" w:rsidP="0086536E">
      <w:pPr>
        <w:pStyle w:val="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B5D23" w:rsidRPr="007B1B96" w:rsidRDefault="007B228B" w:rsidP="0086536E">
      <w:pPr>
        <w:pStyle w:val="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от</w:t>
      </w:r>
      <w:r w:rsidR="0086536E">
        <w:rPr>
          <w:rFonts w:ascii="Sylfaen" w:hAnsi="Sylfaen"/>
          <w:sz w:val="24"/>
          <w:szCs w:val="24"/>
        </w:rPr>
        <w:t>…</w:t>
      </w:r>
      <w:r w:rsidR="0086536E" w:rsidRPr="0086536E">
        <w:rPr>
          <w:rFonts w:ascii="Sylfaen" w:hAnsi="Sylfaen"/>
          <w:sz w:val="24"/>
          <w:szCs w:val="24"/>
        </w:rPr>
        <w:t>…</w:t>
      </w:r>
      <w:r w:rsidR="0086536E">
        <w:rPr>
          <w:rFonts w:ascii="Sylfaen" w:hAnsi="Sylfaen"/>
          <w:sz w:val="24"/>
          <w:szCs w:val="24"/>
        </w:rPr>
        <w:t>…</w:t>
      </w:r>
      <w:r w:rsidR="0086536E" w:rsidRPr="007B1B96">
        <w:rPr>
          <w:rFonts w:ascii="Sylfaen" w:hAnsi="Sylfaen"/>
          <w:sz w:val="24"/>
          <w:szCs w:val="24"/>
        </w:rPr>
        <w:t>..</w:t>
      </w:r>
      <w:r w:rsidRPr="007B228B">
        <w:rPr>
          <w:rFonts w:ascii="Sylfaen" w:hAnsi="Sylfaen"/>
          <w:sz w:val="24"/>
          <w:szCs w:val="24"/>
        </w:rPr>
        <w:t>20 г. №</w:t>
      </w:r>
    </w:p>
    <w:p w:rsidR="0086536E" w:rsidRPr="007B1B96" w:rsidRDefault="0086536E" w:rsidP="0086536E">
      <w:pPr>
        <w:pStyle w:val="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86536E" w:rsidRPr="007B1B96" w:rsidRDefault="007B228B" w:rsidP="0086536E">
      <w:pPr>
        <w:pStyle w:val="50"/>
        <w:shd w:val="clear" w:color="auto" w:fill="auto"/>
        <w:spacing w:before="0" w:after="120" w:line="240" w:lineRule="auto"/>
        <w:ind w:left="1134" w:right="1126"/>
        <w:rPr>
          <w:rStyle w:val="515pt2pt"/>
          <w:rFonts w:ascii="Sylfaen" w:hAnsi="Sylfaen"/>
          <w:b/>
          <w:bCs/>
          <w:spacing w:val="0"/>
          <w:sz w:val="24"/>
          <w:szCs w:val="24"/>
        </w:rPr>
      </w:pPr>
      <w:r w:rsidRPr="007B228B">
        <w:rPr>
          <w:rStyle w:val="515pt2pt"/>
          <w:rFonts w:ascii="Sylfaen" w:hAnsi="Sylfaen"/>
          <w:b/>
          <w:bCs/>
          <w:spacing w:val="0"/>
          <w:sz w:val="24"/>
          <w:szCs w:val="24"/>
        </w:rPr>
        <w:t>ТЕХНИЧЕСКИЙ РЕГЛАМЕНТ</w:t>
      </w:r>
    </w:p>
    <w:p w:rsidR="0086536E" w:rsidRPr="007B1B96" w:rsidRDefault="007B228B" w:rsidP="0086536E">
      <w:pPr>
        <w:pStyle w:val="50"/>
        <w:shd w:val="clear" w:color="auto" w:fill="auto"/>
        <w:spacing w:before="0" w:after="120" w:line="240" w:lineRule="auto"/>
        <w:ind w:left="1134" w:right="1126"/>
        <w:rPr>
          <w:rStyle w:val="515pt"/>
          <w:rFonts w:ascii="Sylfaen" w:hAnsi="Sylfaen"/>
          <w:b/>
          <w:bCs/>
          <w:sz w:val="24"/>
          <w:szCs w:val="24"/>
        </w:rPr>
      </w:pPr>
      <w:r w:rsidRPr="007B228B">
        <w:rPr>
          <w:rStyle w:val="515pt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p w:rsidR="00CB5D23" w:rsidRPr="007B1B96" w:rsidRDefault="007B228B" w:rsidP="0086536E">
      <w:pPr>
        <w:pStyle w:val="50"/>
        <w:shd w:val="clear" w:color="auto" w:fill="auto"/>
        <w:spacing w:before="0" w:after="120" w:line="240" w:lineRule="auto"/>
        <w:ind w:left="1134" w:right="1126"/>
        <w:rPr>
          <w:rStyle w:val="515pt"/>
          <w:rFonts w:ascii="Sylfaen" w:hAnsi="Sylfaen"/>
          <w:b/>
          <w:bCs/>
          <w:sz w:val="24"/>
          <w:szCs w:val="24"/>
        </w:rPr>
      </w:pPr>
      <w:r w:rsidRPr="007B228B">
        <w:rPr>
          <w:rStyle w:val="515pt"/>
          <w:rFonts w:ascii="Sylfaen" w:hAnsi="Sylfaen"/>
          <w:b/>
          <w:bCs/>
          <w:sz w:val="24"/>
          <w:szCs w:val="24"/>
        </w:rPr>
        <w:t>«О безопасности оборудования для детских игровых площадок» (ТР ЕАЭС /20 )</w:t>
      </w:r>
    </w:p>
    <w:p w:rsidR="0086536E" w:rsidRPr="007B1B96" w:rsidRDefault="0086536E" w:rsidP="0086536E">
      <w:pPr>
        <w:pStyle w:val="5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</w:p>
    <w:p w:rsidR="00CB5D23" w:rsidRPr="007B228B" w:rsidRDefault="007B228B" w:rsidP="007B228B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I. Область применения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1. Настоящий технический регламент устанавливает требования к безопасности оборудования и (или) покрытия для детских игровых площадок и связанным с ними процессам проектирования, производства, монтажа, эксплуатации, хранения, перевозки и утилизации.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2. Настоящий технический регламент распространяется на оборудование и (или) покрытие для детских игровых площадок, впервые выпускаемые в обращение на таможенной территории Евразийского экономического союза (далее - Союз) и размещенные на открытых территориях или в закрытых помещениях, по перечню согласно приложению № 1.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3. Настоящий технический регламент разработан в целях защиты жизни и (или) здоровья человека, имущества, окружающей среды, предупреждения действий, вводящих потребителей в заблуждение.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4. Настоящий технический регламент не распространяется на: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оборудование и (или) покрытие для детских игровых площадок, произведенные и введенные в эксплуатацию до вступления настоящего технического регламента в силу;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спортивное оборудование и изделия, предназначенные для тренировок и занятий физической культурой, спортом и туризмом;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аттракционы, на которые распространяется действие технического регламента Евразийского экономического союза «О безопасности аттракционов» (ТР ЕАЭС 038/2016), принятого Решением Совета Евразийской экономической комиссии от 18 октября 2016 г. № 114;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игрушки.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 xml:space="preserve">5. В случае если в отношении оборудования и (или) покрытия для детских игровых площадок приняты иные технические регламенты Союза (Таможенного союза), устанавливающие требования к ним, то такие оборудование и (или) </w:t>
      </w:r>
      <w:r w:rsidRPr="007B228B">
        <w:rPr>
          <w:rFonts w:ascii="Sylfaen" w:hAnsi="Sylfaen"/>
          <w:sz w:val="24"/>
          <w:szCs w:val="24"/>
        </w:rPr>
        <w:lastRenderedPageBreak/>
        <w:t>покрытие должны соответствовать требованиям всех технических регламентов Союза (Таможенного союза), действие которых на них распространяется.</w:t>
      </w:r>
    </w:p>
    <w:p w:rsidR="0086536E" w:rsidRPr="007B1B96" w:rsidRDefault="0086536E" w:rsidP="007B228B">
      <w:pPr>
        <w:pStyle w:val="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II. Основные понятия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6. Для целей применения настоящего технического регламента используются понятия, предусмотренные Протоколом о техническом регулировании в рамках Евразийского экономического союза (приложение № 9 к Договору о Евразийском экономическом союзе от 29 мая 2014 года), а также понятия, которые означают следующее: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«возрастная группа» - группа детей определенного возраста, имеющих схожие рост, вес, физическую силу и уровень интеллектуального развития;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«детская игровая площадка» - специально оборудованная территория, предназначенная для игры детей, включающая в себя соответствующие оборудование и покрытие;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«детский городок (игровой комплекс)» - многофункциональное оборудование для детской игровой площадки, состоящее из нескольких конструкций;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«жизненный цикл оборудования и (или) покрытия» - временной период от начала проектирования до завершения эксплуатации оборудования и (или) покрытия, включающий в себя в том числе производство, хранение, перевозку, монтаж, модернизацию, ремонт, техническое обслуживание и утилизацию;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«зона падения» - поверхность, на которую может попасть пользователь после падения с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«зона приземления» - зона детской игровой площадки, в которой осуществляются торможение и остановка ребенка;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«критическая высота падения» - максимальная высота падения с оборудования, при которой покрытие обеспечивает необходимый уровень демпфирования удара;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«назначенный срок службы» - продолжительность эксплуатации оборудования, и (или) покрытия, и (или) их незаменяемых частей, при достижении которой эксплуатация оборудования и (или) покрытия должна быть прекращена независимо от их технического состояния;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«оборудование» - оборудование, установленное на детской игровой площадке, с которым или на котором дети могут играть индивидуально или группой по своему усмотрению и правилам;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«паспорт» - эксплуатационный документ, определяющий правила эксплуатации оборудования и</w:t>
      </w:r>
      <w:r w:rsidRPr="007B228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B228B">
        <w:rPr>
          <w:rFonts w:ascii="Sylfaen" w:hAnsi="Sylfaen"/>
          <w:sz w:val="24"/>
          <w:szCs w:val="24"/>
        </w:rPr>
        <w:t>отражающий сведения, удостоверяющие гарантированные изготовителем значения основных параметров и характеристик (свойств) оборудования, гарантии и сведения о его эксплуатации в течение назначенного срока службы;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«покрытие» - участок поверхности детской игровой площадки размером не менее зоны приземления, используемый совместно с оборудованием;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«пользователь» - ребенок, использующий по назначению оборудование и (или) покрытие, и лицо, осуществляющее присмотр за ним;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«продавец» - являющиеся резидентами государства - члена Союза юридическое лицо или физическое лицо, зарегистрированное в качестве индивидуального предпринимателя, которые осуществляют реализацию оборудования и (или) покрытия и несут ответственность за их соответствие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«ребенок» - пользователь детской игровой площадкой в возрасте до 14 лет;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«ремонт» - комплекс операций по восстановлению оборудования и (или) покрытия в целях обеспечения их исправности или работоспособности;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«тип оборудования и (или) покрытия» - изделия, имеющие несущественные отличия и произведенные с применением типовой технической документации и типовых технологических процессов;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«ударопоглощающее покрытие» - покрытие, обладающее амортизационными свойствами;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«эксплуатант» - юридическое или физическое лицо (в том числе физическое лицо, зарегистрированное в качестве индивидуального предпринимателя), осуществляющие эксплуатацию оборудования и (или) покрытия и обеспечивающие их соответствие требованиям</w:t>
      </w:r>
      <w:r w:rsidRPr="007B228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B228B">
        <w:rPr>
          <w:rFonts w:ascii="Sylfaen" w:hAnsi="Sylfaen"/>
          <w:sz w:val="24"/>
          <w:szCs w:val="24"/>
        </w:rPr>
        <w:t>настоящего технического регламента с момента ввода в эксплуатацию детской игровой площадки;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«эксплуатация оборудования и (или) покрытия» - стадия жизненного цикла с момента ввода в эксплуатацию оборудования и (или) покрытия до их утилизации.</w:t>
      </w:r>
    </w:p>
    <w:p w:rsidR="0086536E" w:rsidRPr="007B1B96" w:rsidRDefault="0086536E" w:rsidP="007B228B">
      <w:pPr>
        <w:pStyle w:val="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III. Правила идентификации оборудования и (или) покрытия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7. Для целей отнесения оборудования и (или) покрытия к объектам технического регулирования, в отношении которых применяется настоящий технический регламент, заинтересованными лицами осуществляется идентификация оборудования и (или) покрытия.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8. Идентификация оборудования и (или) покрытия осуществляется по их наименованию и (или) документации визуальным методом.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 xml:space="preserve">9. Для идентификации оборудования и (или) покрытия в целях применения настоящего технического регламента используются товаросопроводительная документация, техническая документация (конструкторская документация, паспорт) и (или) маркировка. В качестве товаросопроводительной документации могут быть использованы договоры поставки, и (или) спецификации, и (или) этикетки, и (или) аннотации, а также другие документы, характеризующие оборудование и (или) </w:t>
      </w:r>
      <w:r w:rsidRPr="007B228B">
        <w:rPr>
          <w:rFonts w:ascii="Sylfaen" w:hAnsi="Sylfaen"/>
          <w:sz w:val="24"/>
          <w:szCs w:val="24"/>
        </w:rPr>
        <w:lastRenderedPageBreak/>
        <w:t>покрытие.</w:t>
      </w:r>
    </w:p>
    <w:p w:rsidR="0086536E" w:rsidRPr="007B1B96" w:rsidRDefault="0086536E" w:rsidP="007B228B">
      <w:pPr>
        <w:pStyle w:val="20"/>
        <w:shd w:val="clear" w:color="auto" w:fill="auto"/>
        <w:spacing w:before="0" w:after="120" w:line="240" w:lineRule="auto"/>
        <w:ind w:right="-8" w:firstLine="0"/>
        <w:jc w:val="left"/>
        <w:rPr>
          <w:rFonts w:ascii="Sylfaen" w:hAnsi="Sylfaen"/>
          <w:sz w:val="24"/>
          <w:szCs w:val="24"/>
        </w:rPr>
      </w:pP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IV. Правила обращения оборудования и (или) покрытия на рынке Союза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10. Оборудование и (или) покрытие выпускаются в обращение на рынке Союза при их соответствии требованиям настоящего технического регламента и других технических регламентов Союза</w:t>
      </w:r>
      <w:r w:rsidRPr="007B228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B228B">
        <w:rPr>
          <w:rFonts w:ascii="Sylfaen" w:hAnsi="Sylfaen"/>
          <w:sz w:val="24"/>
          <w:szCs w:val="24"/>
        </w:rPr>
        <w:t>(Таможенного союза), действие которых распространяется на данное оборудование и (или) покрытие, и при условии, что они прошли оценку соответствия требованиям настоящего технического регламента согласно разделу IX настоящего технического регламента и другим техническим регламентам Союза (Таможенного союза), действие которых на них распространяется.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11. Оборудование и (или) покрытие, соответствие которых требованиям настоящего технического регламента не подтверждено, не маркируются единым знаком обращения продукции на рынке Союза и не допускаются к выпуску в обращение на рынке Союза.</w:t>
      </w:r>
    </w:p>
    <w:p w:rsidR="0086536E" w:rsidRPr="007B1B96" w:rsidRDefault="0086536E" w:rsidP="007B228B">
      <w:pPr>
        <w:pStyle w:val="20"/>
        <w:shd w:val="clear" w:color="auto" w:fill="auto"/>
        <w:spacing w:before="0" w:after="120" w:line="240" w:lineRule="auto"/>
        <w:ind w:right="-8" w:firstLine="0"/>
        <w:jc w:val="left"/>
        <w:rPr>
          <w:rFonts w:ascii="Sylfaen" w:hAnsi="Sylfaen"/>
          <w:sz w:val="24"/>
          <w:szCs w:val="24"/>
        </w:rPr>
      </w:pP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V. Требования безопасности к оборудованию и (или) покрытию при проектировании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12. При проектировании оборудования и (или) покрытия необходимо обеспечить: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соответствие конструкторской документации требованиям безопасности настоящего технического регламента и других технических регламентов Союза (Таможенного союза), если в них содержатся требования безопасности, применимые к оборудованию и (или) покрытию;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проведение комплекса необходимых расчетов и испытаний, основанных на аттестованных в установленном порядке методиках;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выбор материалов (сырья), применяемых при производстве оборудования и (или) покрытия, в зависимости от параметров и условий их эксплуатации;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установление критериев предельных состояний;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д) установление назначенных сроков службы, сроков технического обслуживания и ремонта;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е) выявление всех опасностей, связанных с возможной предсказуемой неправильной эксплуатацией оборудования и (или) покрытия;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ж) установление ограничений по эксплуатации оборудования и (или) покрытия.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13. Риск при эксплуатации оборудования и (или) покрытия необходимо рассчитывать с учетом целевой возрастной группы.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14. Разработка паспорта является неотъемлемой частью проектирования оборудования.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VI. Требования безопасности к оборудованию и (или) покрытию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15. При производстве оборудования и его элементов должно быть обеспечено их соответствие требованиям конструкторской документации и настоящего технического регламента.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16. При производстве оборудования и его элементов изготовитель должен выполнять весь комплекс мер по обеспечению безопасности, определенных конструкторской документацией, при этом должна быть обеспечена возможность контроля выполнения всех технологических операций, от которых зависит безопасность.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17. Паспорт оборудования после ввода его в эксплуатацию хранится у эксплуатанта.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18. Материалы, применяемые при производстве оборудования и (или) покрытия, не должны: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оказывать вредное воздействие на здоровье людей и окружающую среду в процессе эксплуатации;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вызывать термический ожог при контакте с кожей пользователя в климатических зонах с очень высокими или очень низкими температурами;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относиться к легковоспламеняющимся материалам;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относиться к чрезвычайно опасным по токсичности продуктам горения;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д) относиться к материалам, свойства которых недостаточно изучены.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19. Показатели гигиенической безопасности материалов, применяемых при производстве оборудования и (или) покрытия, должны соответствовать требованиям, указанным в приложении № 2 к настоящему техническому регламенту.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20. Оборудование и (или) покрытие должны быть произведены таким образом, чтобы при применении по назначению они не представляли опасности для жизни и здоровья пользователей.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21. Оборудование и его элементы должны быть сконструированы таким образом, чтобы: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соответствовать возрастной группе детей, для которых они предназначены;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был очевиден и легко распознаваем ребенком возможный риск при игре;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лица, присматривающие за детьми, имели возможность доступа внутрь оборудования для оказания помощи детям;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не допускалось скопление воды на поверхности оборудования и обеспечивались свободный сток и просыхание;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д) обеспечивались доступность и удобство очистки от пыли, грязи и мусора.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22. Возрастные группы (по росту и весу) и показатели прочности оборудования и его элементов указываются в паспорте на оборудование конкретного вида.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23. Конструкция оборудования: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должна обеспечивать прочность, устойчивость, жесткость и неизменяемость;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должна иметь защиту от коррозии и старения с учетом степени агрессивности среды и стойкости используемых материалов;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не должна иметь выступающих элементов с острыми концами или кромками;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не должна иметь шероховатых поверхностей, способных нанести травму пользователю;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д) должна иметь защиту выступающих концов болтовых соединений;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е) должна иметь гладкие сварные швы;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ж) должна иметь закругленные углы и края любой доступной для пользователей части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з) должна исключать возможность демонтажа без применения специализированных инструментов;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и) должна иметь защиту от несанкционированного доступа к элементам (комплектующим) оборудования, подлежащим периодическому обслуживанию или замене;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к) должна иметь размеры поперечного сечения элементов оборудования для захвата, при которых обеспечивается возможность захвата детьми;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л) должна исключать образование сдавливающих или режущих поверхностей между подвижными, а также подвижными и неподвижными элементами;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м) должна обеспечивать безопасные расстояния между подвижными элементами оборудования и поверхностью игровой площадки;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н) должна иметь оснащение перилами и ограждениями;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о) не должна допускать застревание тела, частей тела или одежды ребенка;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п) должна обладать необходимой несущей способностью к возникающим нагрузкам.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24. Закрытое оборудование (тоннели, игровые домики и т. п.) должно иметь не менее 2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 при необходимости оказание помощи детям без каких- либо дополнительных средств.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25. По всей зоне приземления с оборудования должны быть установлены ударопоглощающие покрытия.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 xml:space="preserve">26. Высота свободного падения с оборудования должна учитывать тип ударопоглощающего покрытия и возможные перемещения ребенка и элементов конструкции оборудования и должна составлять не более 3 метров от поверхности, на которую пользователь опирается ногами, до зоны приземления и не более 4 </w:t>
      </w:r>
      <w:r w:rsidRPr="007B228B">
        <w:rPr>
          <w:rFonts w:ascii="Sylfaen" w:hAnsi="Sylfaen"/>
          <w:sz w:val="24"/>
          <w:szCs w:val="24"/>
        </w:rPr>
        <w:lastRenderedPageBreak/>
        <w:t>метров от уровня захвата руками до зоны приземления.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Границы зоны приземления должны учитывать возможные перемещения ребенка и элементов конструкции.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27. Поверхности платформ, проходов, трапов и лестниц должны исключать скольжение при любых погодных условиях.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28. Ударопоглощающее покрытие не должно иметь опасных выступов.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29. При применении в качестве ударопоглощающего покрытия несыпучих материалов оно не должно иметь участков, на которых возможно застревание частей тела или одежды ребенка.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30. Ударопоглощающее покрытие должно сохранять свои свойства вне зависимости от климатических условий.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31. Под оборудованием с высотой свободного падения более 60 см ударопоглощающее покрытие оборудуется по всей зоне приземления.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32. Критическая высота падения должна быть равной высоте свободного падения с оборудования или превышать такую высоту.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33. Оборудование и (или) покрытие должны иметь назначенный срок службы, который устанавливается согласно пункту 12 настоящего технического регламента.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34. Упаковка оборудования и (или) покрытия или</w:t>
      </w:r>
      <w:r w:rsidR="0086536E" w:rsidRPr="0086536E">
        <w:rPr>
          <w:rFonts w:ascii="Sylfaen" w:hAnsi="Sylfaen"/>
          <w:sz w:val="24"/>
          <w:szCs w:val="24"/>
        </w:rPr>
        <w:t xml:space="preserve"> </w:t>
      </w:r>
      <w:r w:rsidRPr="007B228B">
        <w:rPr>
          <w:rFonts w:ascii="Sylfaen" w:hAnsi="Sylfaen"/>
          <w:sz w:val="24"/>
          <w:szCs w:val="24"/>
        </w:rPr>
        <w:t>соответствующая товаросопроводительная документация должна</w:t>
      </w:r>
      <w:r w:rsidRPr="007B228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B228B">
        <w:rPr>
          <w:rFonts w:ascii="Sylfaen" w:hAnsi="Sylfaen"/>
          <w:sz w:val="24"/>
          <w:szCs w:val="24"/>
        </w:rPr>
        <w:t>содержать наименование изготовителя и (или) его товарный знак, наименование и обозначение оборудования и (или) покрытия, сведения о возрастной группе, назначенный срок службы, обозначение документа, в соответствии с которым произведены оборудование и (или) покрытие конкретного вида.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Такая информация указывается на русском языке и при наличии соответствующих требований в законодательстве государства - члена Союза (далее - государство-член) на государственном</w:t>
      </w:r>
      <w:r w:rsidRPr="007B228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B228B">
        <w:rPr>
          <w:rFonts w:ascii="Sylfaen" w:hAnsi="Sylfaen"/>
          <w:sz w:val="24"/>
          <w:szCs w:val="24"/>
        </w:rPr>
        <w:t>(государственных) языке (языках) государства-члена, на территории которого реализуются оборудование и (или) покрытие.</w:t>
      </w:r>
    </w:p>
    <w:p w:rsidR="0086536E" w:rsidRPr="007B1B96" w:rsidRDefault="0086536E" w:rsidP="007B228B">
      <w:pPr>
        <w:pStyle w:val="20"/>
        <w:shd w:val="clear" w:color="auto" w:fill="auto"/>
        <w:spacing w:before="0" w:after="120" w:line="240" w:lineRule="auto"/>
        <w:ind w:right="-8" w:firstLine="0"/>
        <w:jc w:val="left"/>
        <w:rPr>
          <w:rFonts w:ascii="Sylfaen" w:hAnsi="Sylfaen"/>
          <w:sz w:val="24"/>
          <w:szCs w:val="24"/>
        </w:rPr>
      </w:pP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VII. Обеспечение безопасности оборудования и (или) покрытия при их монтаже, эксплуатации, перевозке, хранении и (или) утилизации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35. Информация о характеристиках и безопасной эксплуатации оборудования должна быть указана в паспорте.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36. Паспорт должен содержать следующую информацию: основные сведения об оборудовании (наименование и место</w:t>
      </w:r>
      <w:r w:rsidRPr="007B228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B228B">
        <w:rPr>
          <w:rFonts w:ascii="Sylfaen" w:hAnsi="Sylfaen"/>
          <w:sz w:val="24"/>
          <w:szCs w:val="24"/>
        </w:rPr>
        <w:t>нахождения (адрес) изготовителя (уполномоченного изготовителем лица), обозначение документа, в соответствии с которым произведено оборудование);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основные технические данные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комплектность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сведения о приемке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сведения об упаковке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гарантийные обязательства изготовителя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сведения о хранении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сведения о перевозке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сведения о консервации и расконсервации оборудования при эксплуатации;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рекомендуемый тип покрытия;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сведения об учете неисправностей оборудования при эксплуатации;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сведения об учете технического обслуживания оборудования; сведения о ремонте, включая перечень деталей и частей оборудования, которые подвержены большим нагрузкам в процессе эксплуатации оборудования, а также срок и случаи их замены; инструкция по монтажу оборудования; правила безопасной эксплуатации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инструкция по осмотру и проверке оборудования перед началом эксплуатации;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инструкция по осмотру, обслуживанию и ремонту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сведения об утилизации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месяц и год производства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сведения о возрастных группах (включая ограничения по весу и росту);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назначенный срок службы;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особые отметки (при необходимости);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фото или графический рисунок (при необходимости цветные)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чертеж общего вида оборудования с указанием основных размеров;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схема сборки оборудования;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схема (план) зоны падения.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Паспорт оформляется на русском языке и при наличии соответствующих требований в законодательстве государства-члена на государственном (государственных) языке (языках) государства- члена, на территории которого реализуется оборудование.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37. Монтаж оборудования и (или) покрытия должен выполняться в соответствии с инструкцией по монтажу, которая должна содержать следующую информацию: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размеры минимального пространства для размещения оборудования и безопасное расстояние между оборудованием и поверхностью детской игровой площадки;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б) порядок монтажа оборудования и (или) покрытия;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необходимые обозначения, облегчающие сборку (например, метки на сборочных частях оборудования и подробные инструкции);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перечень необходимых специальных приспособлений и инструментов для монтажа оборудования и (или) покрытия (подъемных устройств, шаблонов, калибров, лекал и т. п.), а также мер предосторожности при монтаже оборудования и (или) покрытия;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д) значения момента затяжки резьбовых соединений (при необходимости);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е) размеры участка для установки оборудования конкретного вида;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ж) ориентация оборудования и его элементов в целях защиты от воздействия климатических условий (солнца, ветра (при необходимости));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з) требования к фундаменту, описание конструкции и схема размещения фундамента, требования к анкерному креплению;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и) описание особенностей ландшафта для обеспечения безопасной эксплуатации оборудования и (или) покрытия;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к) высота свободного падения (при выборе ударопоглощающего покрытия);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л) требование к окраске или специальной пропитке оборудования или его элементов (при необходимости);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м) требование к удалению элементов упаковки перед вводом оборудования в эксплуатацию.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38. Оборудование должно быть установлено таким образом, чтобы обеспечить безопасность пользователей.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При установке оборудования должны учитываться зоны падения и зоны приземления, определенные для соседнего оборудования.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39. Конструкция оборудования может предусматривать беспрепятственный доступ на детскую игровую площадку детей с ограниченными возможностями и обеспечивать безопасность их пребывания на детской игровой площадке.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40. При применении в качестве ударопоглощающего покрытия на детской игровой площадке сыпучих материалов толщину такого покрытия увеличивают (по сравнению с необходимой толщиной) на величину, достаточную для компенсации вытеснения данного материала.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41. Ввод в эксплуатацию оборудования и (или) покрытия осуществляется в порядке, установленном законодательством государств-членов.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42. Эксплуатация оборудования и (или) покрытия осуществляется эксплуатантом в соответствии с требованиями настоящего технического регламента и правилами безопасной эксплуатации, установленными паспортом.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 xml:space="preserve">43. Техническое обслуживание и ремонт оборудования осуществляются в </w:t>
      </w:r>
      <w:r w:rsidRPr="007B228B">
        <w:rPr>
          <w:rFonts w:ascii="Sylfaen" w:hAnsi="Sylfaen"/>
          <w:sz w:val="24"/>
          <w:szCs w:val="24"/>
        </w:rPr>
        <w:lastRenderedPageBreak/>
        <w:t>соответствии с паспортом.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44. По истечении назначенного срока службы эксплуатация оборудования должна быть прекращена независимо от технического состояния оборудования.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45. Для обеспечения безопасности оборудования внесение эксплуатантом в конструкцию оборудования изменений, влияющих на безопасность его конструкции или элементов, не допускается.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46. На детской игровой площадке должна быть размещена информация в виде таблички (пиктограммы), содержащая: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правила пользования оборудованием и сведения о возрастных группах (включая ограничения по росту и весу);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номера телефонов службы спасения, скорой помощи;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номера телефонов эксплуатанта, по которым следует обращаться в случае неисправности или поломки оборудования.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 процессе эксплуатации оборудования должны соблюдаться ограничения по росту и весу, указанные в паспорте.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47. Перевозка и хранение оборудования и его элементов должны осуществляться с учетом требований настоящего технического регламента и сведений, указанных в паспорте.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48. Утилизация оборудования осуществляется в соответствии с паспортом.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Особенности утилизации оборудования могут устанавливаться законодательством государств-членов в области охраны окружающей среды.</w:t>
      </w:r>
    </w:p>
    <w:p w:rsidR="0086536E" w:rsidRPr="007B1B96" w:rsidRDefault="0086536E" w:rsidP="007B228B">
      <w:pPr>
        <w:pStyle w:val="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VIII. Обеспечение соответствия оборудования и (или) покрытия</w:t>
      </w:r>
      <w:r w:rsidR="0086536E" w:rsidRPr="0086536E">
        <w:rPr>
          <w:rFonts w:ascii="Sylfaen" w:hAnsi="Sylfaen"/>
          <w:sz w:val="24"/>
          <w:szCs w:val="24"/>
        </w:rPr>
        <w:t xml:space="preserve"> </w:t>
      </w:r>
      <w:r w:rsidRPr="007B228B">
        <w:rPr>
          <w:rFonts w:ascii="Sylfaen" w:hAnsi="Sylfaen"/>
          <w:sz w:val="24"/>
          <w:szCs w:val="24"/>
        </w:rPr>
        <w:t>требованиям безопасности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49. Соответствие оборудования и (или) покрытия настоящему техническому регламенту обеспечивается выполнением следующих требований: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требования гигиенической безопасности, установленные приложением № 2 к настоящему техническому регламенту;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требования безопасности, установленные настоящим техническим регламентом (за исключением требований, указанных в подпункте «а» настоящего пункта), либо требования стандартов,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50. Методы исследований (испытаний) и измерений оборудования и (или) покрытия устанавливаются в стандартах, включенных в перечень стандартов, содержащих правила и методы исследований (испытаний) и измерений, в том числе правила отбора образцов,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необходимые для применения и исполнения требований настоящего технического регламента и осуществления оценки соответствия оборудования и (или) покрытия.</w:t>
      </w:r>
    </w:p>
    <w:p w:rsidR="0086536E" w:rsidRPr="007B1B96" w:rsidRDefault="0086536E" w:rsidP="007B228B">
      <w:pPr>
        <w:pStyle w:val="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IX. Оценка соответствия оборудования и (или) покрытия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51. Оборудование и (или) покрытие, выпускаемые в обращение на рынке Союза, подлежат оценке соответствия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52. Оценка соответствия оборудования и (или) покрытия требованиям настоящего технического регламента проводится в формах подтверждения соответствия и оценки технического состояния (технического освидетельствования).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53. Подтверждение соответствия оборудования и (или) покрытия требованиям настоящего технического регламента (далее - подтверждение соответствия) осуществляется в форме сертификации или декларирования соответствия.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54. При подтверждении соответствия заявителями могут быть зарегистрированные на территории государства-члена в соответствии с его законодательством юридическое лицо или физическое лицо в качестве индивидуального предпринимателя, являющиеся изготовителями или продавцами либо уполномоченными изготовителем лицами.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55. Оборудование и (или) покрытие по перечню согласно приложению № 3 подлежат подтверждению соответствия в форме сертификации по следующим схемам: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для оборудования и (или) покрытия, выпускаемых серийно, - схемы 1с и 2с;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для партии оборудования и (или) покрытия - схема Зс;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для единичного изделия - схема 4с.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56. Оборудование и (или) покрытие по перечню согласно приложению № 4 подлежат подтверждению соответствия в форме декларирования соответствия по следующим схемам: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для оборудования и (или) покрытия, выпускаемых серийно, - схемы 1д и Зд;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для партии (единичного изделия) оборудования и (или) покрытия - схемы 2д и 4д.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57. При сертификации оборудования и (или) покрытия заявителем может быть: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для схем 1с и 2с - изготовитель (уполномоченное изготовителем лицо);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для схем Зс и 4с - изготовитель (уполномоченное изготовителем лицо) или продавец.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 xml:space="preserve">58. Выбор схемы сертификации оборудования и (или) покрытия </w:t>
      </w:r>
      <w:r w:rsidRPr="007B228B">
        <w:rPr>
          <w:rFonts w:ascii="Sylfaen" w:hAnsi="Sylfaen"/>
          <w:sz w:val="24"/>
          <w:szCs w:val="24"/>
        </w:rPr>
        <w:lastRenderedPageBreak/>
        <w:t>осуществляется заявителем.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59. При сертификации оборудования и (или) покрытия заявитель: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предпринимает все необходимые меры, чтобы процесс производства был стабильным и обеспечивал соответствие производимых оборудования и (или) покрытия требованиям настоящего технического регламента (схемы 1с и 2с);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формирует техническую документацию, в том числе: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паспорт (для оборудования);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конструкторскую документацию (схемы 1с и 2с);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документ, по которому изготовлено оборудование и (или) покрытие (схемы 1с и 2с);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результаты прочностных расчетов оборудования и (или) покрытия;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протокол (протоколы) испытаний оборудования и (или) покрытия, проведенных изготовителем в аккредитованной испытательной лаборатории (центре), включенной в Единый реестр органов по оценке соответствия Евразийского экономического союза (далее - испытательная лаборатория (центр));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документ о подтверждении характеристик материалов и комплектующих изделий (при наличии);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сертификаты соответствия и декларации о соответствии или протокол (протоколы) испытаний в отношении материалов и комплектующих изделий (при наличии);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перечень стандартов, указанных в разделе VIII настоящего технического регламента, которые применялись при производстве (в случае их применения изготовителем);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сертификат на систему менеджмента (копию сертификата) (схема 2с);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контракт (договор на поставку) и товаросопроводительную документацию для партии и единичного изделия оборудования и (или) покрытия (схемы Зс и 4с);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иные документы по выбору заявителя, послужившие основанием для подтверждения соответствия оборудования и (или) покрытия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 (при наличии);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подает заявку на сертификацию оборудования и (или) покрытия с приложением технической документации, предусмотренной подпунктом «б» настоящего пункта, в аккредитованный орган по сертификации, включенный в Единый реестр органов по оценке соответствия Евразийского экономического союза (далее - орган по сертификации).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 заявке указывается документ, на соответствие которому сертифицирована система менеджмента (схема 2с).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В заявке должны содержаться идентифицирующие признаки партии (размер партии, реквизиты товаросопроводительной документации, идентифицирующей эту партию) и входящих в нее единиц оборудования и (или) покрытия (наименование, тип, вид и др. (при наличии)) (схемы Зс и 4с);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наносит единый знак обращения продукции на рынке Союза после завершения процедуры подтверждения соответствия;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д) извещает в письменной форме орган по сертификации о внесении изменений в конструкцию оборудования и (или) покрытия или технологию их производства, которые могут повлиять на соответствие оборудования и (или) покрытия требованиям настоящего технического регламента (схема 1с);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е) формирует после завершения процедуры подтверждения соответствия техническую документацию, предусмотренную подпунктом «б» настоящего пункта, протокол (протоколы) испытаний оборудования и (или) покрытия, акт анализа состояния производства изготовителя (схема 1с) и сертификат соответствия.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60. При сертификации оборудования и (или) покрытия орган по сертификации: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анализирует заявку и техническую документацию, представленные заявителем, и информирует заявителя о решении о проведении сертификации (с указанием условий проведения сертификации) или об отказе в ней (с указанием причин);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проводит идентификацию и отбор образцов оборудования и (или) покрытия у заявителя для проведения испытаний;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обеспечивает проведение испытаний образцов оборудования и (или) покрытия (схемы 1с, 2с и Зс) или единичного изделия оборудования и (или) покрытия (схема 4с) в испытательной лаборатории (центре);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проводит анализ состояния производства у изготовителя, результаты которого оформляются соответствующим актом (схема 1с);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д) при положительных результатах испытаний образцов оборудования и (или) покрытия, анализа состояния производства (схема 1с) и анализа представленной заявителем технической документации оформляет сертификат соответствия по единой форме, утвержденной Решением Коллегии Евразийской экономической комиссии от 25 декабря 2012 г. № 293, который выдается заявителю;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е) проводит инспекционный контроль за сертифицированным оборудованием и (или) покрытием в течение всего срока действия сертификата соответствия посредством испытаний образцов оборудования и (или) покрытия в испытательной лаборатории (центре) и (или) анализа состояния производства (схема 1с);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ж) проводит инспекционный контроль за сертифицированным оборудованием и (или) покрытием в течение всего срока действия сертификата соответствия посредством испытаний образцов оборудования и (или) покрытия в испытательной лаборатории (центре) и проведения анализа результатов инспекционного контроля органом</w:t>
      </w:r>
      <w:r w:rsidR="0086536E" w:rsidRPr="0086536E">
        <w:rPr>
          <w:rFonts w:ascii="Sylfaen" w:hAnsi="Sylfaen"/>
          <w:sz w:val="24"/>
          <w:szCs w:val="24"/>
        </w:rPr>
        <w:t xml:space="preserve"> </w:t>
      </w:r>
      <w:r w:rsidRPr="007B228B">
        <w:rPr>
          <w:rFonts w:ascii="Sylfaen" w:hAnsi="Sylfaen"/>
          <w:sz w:val="24"/>
          <w:szCs w:val="24"/>
        </w:rPr>
        <w:t xml:space="preserve">по сертификации систем менеджмента за сертифицированной системой </w:t>
      </w:r>
      <w:r w:rsidRPr="007B228B">
        <w:rPr>
          <w:rFonts w:ascii="Sylfaen" w:hAnsi="Sylfaen"/>
          <w:sz w:val="24"/>
          <w:szCs w:val="24"/>
        </w:rPr>
        <w:lastRenderedPageBreak/>
        <w:t>менеджмента (схема 2с);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з) по результатам инспекционного контроля: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подтверждает действие сертификата соответствия, о чем указывает в акте инспекционного контроля;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при отрицательных результатах инспекционного контроля принимает решение о приостановлении либо отмене действия сертификата соответствия.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Доводит решение о результатах инспекционного контроля до заявителя;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и) вносит сведения о сертификате соответствия в Единый реестр выданных или принятых документов об оценке соответствия Евразийского экономического союза.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61. В случае проведения сертификации по схемам, предусматривающим сертификацию систем менеджмента, работы по сертификации систем менеджмента осуществляет орган по сертификации систем менеджмента, зарегистрированный на территории государства-члена и аккредитованный в соответствии с законодательством этого государства-члена.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62. Срок действия сертификата соответствия для оборудования и (или) покрытия, выпускаемых серийно, - не более 5 лет, для партии оборудования и (или) покрытия (единичного изделия) срок действия сертификата соответствия не устанавливается.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63. Комплект документов, формируемый после сертификации оборудования и (или) покрытия, указанный в подпункте «е» пункта 59 настоящего технического регламента, должен храниться у заявителя и в органе по сертификации в течение следующих сроков: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на оборудование и (или) покрытие, выпускаемые серийно, - не менее 10 лет со дня прекращения действия сертификата соответствия;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на партию продукции (единичное изделие) - не менее 10 лет со дня реализации последнего изделия оборудования и (или) покрытия из партии продукции (единичного изделия).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Комплект документов предоставляется органам государственного контроля (надзора) по их требованию.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64. При декларировании соответствия оборудования и (или) покрытия заявителем может быть: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для схем 1д и Зд - изготовитель (уполномоченное</w:t>
      </w:r>
      <w:r w:rsidR="0086536E" w:rsidRPr="0086536E">
        <w:rPr>
          <w:rFonts w:ascii="Sylfaen" w:hAnsi="Sylfaen"/>
          <w:sz w:val="24"/>
          <w:szCs w:val="24"/>
        </w:rPr>
        <w:t xml:space="preserve"> </w:t>
      </w:r>
      <w:r w:rsidRPr="007B228B">
        <w:rPr>
          <w:rFonts w:ascii="Sylfaen" w:hAnsi="Sylfaen"/>
          <w:sz w:val="24"/>
          <w:szCs w:val="24"/>
        </w:rPr>
        <w:t>изготовителем лицо);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для схем 2д и 4д - изготовитель (уполномоченное</w:t>
      </w:r>
      <w:r w:rsidR="0086536E" w:rsidRPr="0086536E">
        <w:rPr>
          <w:rFonts w:ascii="Sylfaen" w:hAnsi="Sylfaen"/>
          <w:sz w:val="24"/>
          <w:szCs w:val="24"/>
        </w:rPr>
        <w:t xml:space="preserve"> </w:t>
      </w:r>
      <w:r w:rsidRPr="007B228B">
        <w:rPr>
          <w:rFonts w:ascii="Sylfaen" w:hAnsi="Sylfaen"/>
          <w:sz w:val="24"/>
          <w:szCs w:val="24"/>
        </w:rPr>
        <w:t>изготовителем лицо) или продавец.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65. Выбор схемы декларирования соответствия оборудования и (или) покрытия осуществляется заявителем.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66. Декларирование соответствия оборудования и (или) покрытия по схемам 1д и 2д осуществляется заявителем на основании</w:t>
      </w:r>
      <w:r w:rsidR="0086536E" w:rsidRPr="0086536E">
        <w:rPr>
          <w:rFonts w:ascii="Sylfaen" w:hAnsi="Sylfaen"/>
          <w:sz w:val="24"/>
          <w:szCs w:val="24"/>
        </w:rPr>
        <w:t xml:space="preserve"> </w:t>
      </w:r>
      <w:r w:rsidRPr="007B228B">
        <w:rPr>
          <w:rFonts w:ascii="Sylfaen" w:hAnsi="Sylfaen"/>
          <w:sz w:val="24"/>
          <w:szCs w:val="24"/>
        </w:rPr>
        <w:t xml:space="preserve">собственных доказательств. </w:t>
      </w:r>
      <w:r w:rsidRPr="007B228B">
        <w:rPr>
          <w:rFonts w:ascii="Sylfaen" w:hAnsi="Sylfaen"/>
          <w:sz w:val="24"/>
          <w:szCs w:val="24"/>
        </w:rPr>
        <w:lastRenderedPageBreak/>
        <w:t>Испытания образцов оборудования и (или) покрытия по выбору заявителя проводятся в собственной испытательной лаборатории заявителя и (или) испытательной лабораторией (центром).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Декларирование соответствия оборудования и (или) покрытия по схемам Зд и 4д осуществляется заявителем на основании собственных доказательств и доказательств, полученных с участием испытательной лаборатории (центра).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67. При декларировании соответствия оборудования и (или) покрытия заявитель: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формирует и анализирует документы, подтверждающие соответствие оборудования и (или) покрытия требованиям настоящего технического регламента, в том числе: паспорт (для оборудования); конструкторскую документацию (схемы 1д и Зд); документ, по которому произведено оборудование и (или) покрытие (схемы 1д и Зд);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результаты прочностных расчетов;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протокол (протоколы) испытаний образцов оборудования и (или) покрытия, проведенных в собственной испытательной лаборатории заявителя и (или) испытательной лабораторией (центром);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документ о подтверждении характеристик материалов</w:t>
      </w:r>
      <w:r w:rsidR="0086536E" w:rsidRPr="0086536E">
        <w:rPr>
          <w:rFonts w:ascii="Sylfaen" w:hAnsi="Sylfaen"/>
          <w:sz w:val="24"/>
          <w:szCs w:val="24"/>
        </w:rPr>
        <w:t xml:space="preserve"> </w:t>
      </w:r>
      <w:r w:rsidRPr="007B228B">
        <w:rPr>
          <w:rFonts w:ascii="Sylfaen" w:hAnsi="Sylfaen"/>
          <w:sz w:val="24"/>
          <w:szCs w:val="24"/>
        </w:rPr>
        <w:t>и комплектующих изделий (при наличии);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сертификаты соответствия, декларации о соответствии или протоколы испытаний в отношении материалов и комплектующих изделий (при наличии);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перечень стандартов, указанных в разделе VIII настоящего технического регламента, которые применялись при производстве (в случае их применения изготовителем);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контракт (договор на поставку) и товаросопроводительную документацию для партии продукции (единичного изделия) (схемы 2д и 4д);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иные документы по выбору заявителя, послужившие основанием для подтверждения соответствия оборудования и (или) покрытия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 (при наличии);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проводит идентификацию оборудования и (или) покрытия в соответствии с разделом III настоящего технического регламента;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обеспечивает проведение производственного контроля и принимает необходимые меры для обеспечения соответствия процесса производства оборудования и (или) покрытия требованиям настоящего технического регламента;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принимает декларацию о соответствии, которая оформляется по единой форме и правилам, утвержденным Решением Коллегии Евразийской экономической комиссии от 25 декабря 2012 г. № 293;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д) наносит единый знак обращения продукции на рынке Союза после завершения процедуры декларирования соответствия;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е) формирует после завершения процедуры декларирования соответствия оборудования и (или) покрытия комплект документов, который включает в себя документы, предусмотренные подпунктом «а» настоящего пункта, и декларацию о соответствии.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68. Декларация о соответствии подлежит регистрации в порядке, установленном Решением Коллегии Евразийской экономической комиссии от 9 апреля 2013 г. № 76.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69. Комплект документов, формируемый после декларирования соответствия оборудования и (или) покрытия, указанный в подпункте «е» пункта 67 настоящего технического регламента, должен храниться у заявителя в течение следующих сроков: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на оборудование и (или) покрытие, выпускаемые серийно, - не менее 5 лет со дня прекращения действия декларации о соответствии;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на партию продукции (единичное изделие) - не менее 5 лет со дня реализации последнего изделия оборудования и (или) покрытия из партии продукции (единичного изделия).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Комплект документов предоставляется органам государственного контроля (надзора) по их требованию.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70. Срок действия декларации о соответствии при декларировании соответствия на серийный выпуск оборудования и (или) покрытия составляет не более 5 лет. Для партии оборудования и (или) покрытия (единичного изделия) срок действия декларации о соответствии не устанавливается.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71. После выпуска в обращение в течение назначенного срока службы аккредитованной (уполномоченной) организацией осуществляется оценка соответствия оборудования и (или) покрытия в форме оценки технического состояния (технического освидетельствования).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Порядок проведения оценки технического состояния (технического освидетельствования), а также порядок аккредитации (уполномочивания) организации на проведение оценки технического состояния (технического освидетельствования) устанавливается законодательством государств-членов.</w:t>
      </w:r>
    </w:p>
    <w:p w:rsidR="0086536E" w:rsidRPr="007B1B96" w:rsidRDefault="0086536E" w:rsidP="007B228B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B5D23" w:rsidRPr="007B228B" w:rsidRDefault="007B228B" w:rsidP="007B228B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X. Маркировка оборудования и (или) покрытия единым знаком обращения продукции на рынке Союза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 xml:space="preserve">72. Оборудование и (или) покрытие, соответствующие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распространяется, и прошедшие процедуру подтверждения соответствия, маркируются единым знаком </w:t>
      </w:r>
      <w:r w:rsidRPr="007B228B">
        <w:rPr>
          <w:rFonts w:ascii="Sylfaen" w:hAnsi="Sylfaen"/>
          <w:sz w:val="24"/>
          <w:szCs w:val="24"/>
        </w:rPr>
        <w:lastRenderedPageBreak/>
        <w:t>обращения продукции на рынке Союза.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73. Маркировка единым знаком обращения продукции на рынке Союза осуществляется перед выпуском оборудования и (или) покрытия в обращение на этом рынке.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74. Единый знак обращения продукции на рынке Союза наносится на каждую единицу оборудования и (или) покрытия любым способом, обеспечивающим четкое и ясное изображение в течение всего срока службы оборудования и (или) покрытия, а также приводится в прилагаемом паспорте. Допускаются нанесение единого знака обращения продукции на рынке Союза только на упаковку и его указание в прилагаемом паспорте, если знак невозможно нанести непосредственно на оборудование и (или) покрытие.</w:t>
      </w:r>
    </w:p>
    <w:p w:rsidR="00CB5D23" w:rsidRPr="007B228B" w:rsidRDefault="007B228B" w:rsidP="0086536E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75. Маркировка оборудования и (или) покрытия единым знаком обращения продукции на рынке Союза свидетельствует о соответствии их требованиям всех технических регламентов Союза (Таможенного союза), распространяющихся на это оборудование и (или) покрытие и предусматривающих нанесение единого знака обращения продукции на рынке Союза.</w:t>
      </w:r>
    </w:p>
    <w:p w:rsidR="0086536E" w:rsidRPr="007B1B96" w:rsidRDefault="0086536E" w:rsidP="007B228B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B5D23" w:rsidRPr="007B228B" w:rsidRDefault="007B228B" w:rsidP="007B228B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XI. Государственный контроль (надзор)</w:t>
      </w:r>
    </w:p>
    <w:p w:rsidR="00CB5D23" w:rsidRPr="007B228B" w:rsidRDefault="007B228B" w:rsidP="007B1B96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76. Государственный контроль (надзор) за соблюдением требований настоящего технического регламента проводится в соответствии с законодательством государств-членов.</w:t>
      </w:r>
      <w:bookmarkStart w:id="0" w:name="_GoBack"/>
      <w:bookmarkEnd w:id="0"/>
    </w:p>
    <w:p w:rsidR="00CB5D23" w:rsidRPr="007B228B" w:rsidRDefault="00CB5D23" w:rsidP="007B228B">
      <w:pPr>
        <w:spacing w:after="120"/>
        <w:ind w:right="-8"/>
      </w:pPr>
    </w:p>
    <w:sectPr w:rsidR="00CB5D23" w:rsidRPr="007B228B" w:rsidSect="007B228B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9CF" w:rsidRDefault="006029CF" w:rsidP="00CB5D23">
      <w:r>
        <w:separator/>
      </w:r>
    </w:p>
  </w:endnote>
  <w:endnote w:type="continuationSeparator" w:id="0">
    <w:p w:rsidR="006029CF" w:rsidRDefault="006029CF" w:rsidP="00CB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9CF" w:rsidRDefault="006029CF">
      <w:r>
        <w:separator/>
      </w:r>
    </w:p>
  </w:footnote>
  <w:footnote w:type="continuationSeparator" w:id="0">
    <w:p w:rsidR="006029CF" w:rsidRDefault="00602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489B"/>
    <w:multiLevelType w:val="multilevel"/>
    <w:tmpl w:val="4F0AA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D30F1"/>
    <w:multiLevelType w:val="multilevel"/>
    <w:tmpl w:val="7A06BE9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A718E"/>
    <w:multiLevelType w:val="multilevel"/>
    <w:tmpl w:val="64BE2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B2472C"/>
    <w:multiLevelType w:val="multilevel"/>
    <w:tmpl w:val="2B641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F80CA2"/>
    <w:multiLevelType w:val="multilevel"/>
    <w:tmpl w:val="AD82F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F00AF8"/>
    <w:multiLevelType w:val="multilevel"/>
    <w:tmpl w:val="DA160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3A689F"/>
    <w:multiLevelType w:val="multilevel"/>
    <w:tmpl w:val="DF6CB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23"/>
    <w:rsid w:val="004504B1"/>
    <w:rsid w:val="006029CF"/>
    <w:rsid w:val="006643AC"/>
    <w:rsid w:val="007B1B96"/>
    <w:rsid w:val="007B228B"/>
    <w:rsid w:val="007C5C3D"/>
    <w:rsid w:val="0086536E"/>
    <w:rsid w:val="00CB5D23"/>
    <w:rsid w:val="00D3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C6B4"/>
  <w15:docId w15:val="{869D68AE-2F27-4354-BD0E-39081A74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B5D2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5D23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15pt">
    <w:name w:val="Основной текст (5) + 15 pt"/>
    <w:basedOn w:val="5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Заголовок №1 (2)_"/>
    <w:basedOn w:val="DefaultParagraphFont"/>
    <w:link w:val="120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3">
    <w:name w:val="Заголовок №2 (3)_"/>
    <w:basedOn w:val="DefaultParagraphFont"/>
    <w:link w:val="230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4pt">
    <w:name w:val="Заголовок №2 (3) + Интервал 4 pt"/>
    <w:basedOn w:val="23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Основной текст (2) + Полужирный;Интервал 4 pt"/>
    <w:basedOn w:val="2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DefaultParagraphFont"/>
    <w:link w:val="60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"/>
    <w:basedOn w:val="2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5pt2pt">
    <w:name w:val="Основной текст (5) + 15 pt;Интервал 2 pt"/>
    <w:basedOn w:val="5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2pt">
    <w:name w:val="Заголовок №2 (3) + Интервал 2 pt"/>
    <w:basedOn w:val="23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aramond4pt">
    <w:name w:val="Основной текст (2) + Garamond;4 pt"/>
    <w:basedOn w:val="2"/>
    <w:rsid w:val="00CB5D2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BookAntiqua4pt0pt">
    <w:name w:val="Основной текст (2) + Book Antiqua;4 pt;Курсив;Интервал 0 pt"/>
    <w:basedOn w:val="2"/>
    <w:rsid w:val="00CB5D2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BookAntiqua45pt">
    <w:name w:val="Основной текст (2) + Book Antiqua;4;5 pt"/>
    <w:basedOn w:val="2"/>
    <w:rsid w:val="00CB5D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7">
    <w:name w:val="Основной текст (17)_"/>
    <w:basedOn w:val="DefaultParagraphFont"/>
    <w:link w:val="170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0">
    <w:name w:val="Основной текст (5)"/>
    <w:basedOn w:val="Normal"/>
    <w:link w:val="5"/>
    <w:rsid w:val="00CB5D23"/>
    <w:pPr>
      <w:shd w:val="clear" w:color="auto" w:fill="FFFFFF"/>
      <w:spacing w:before="120" w:after="10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0">
    <w:name w:val="Заголовок №1 (2)"/>
    <w:basedOn w:val="Normal"/>
    <w:link w:val="12"/>
    <w:rsid w:val="00CB5D2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0">
    <w:name w:val="Заголовок №2 (3)"/>
    <w:basedOn w:val="Normal"/>
    <w:link w:val="23"/>
    <w:rsid w:val="00CB5D2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Normal"/>
    <w:link w:val="2"/>
    <w:rsid w:val="00CB5D23"/>
    <w:pPr>
      <w:shd w:val="clear" w:color="auto" w:fill="FFFFFF"/>
      <w:spacing w:before="420" w:after="900" w:line="0" w:lineRule="atLeast"/>
      <w:ind w:hanging="8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60">
    <w:name w:val="Основной текст (6)"/>
    <w:basedOn w:val="Normal"/>
    <w:link w:val="6"/>
    <w:rsid w:val="00CB5D23"/>
    <w:pPr>
      <w:shd w:val="clear" w:color="auto" w:fill="FFFFFF"/>
      <w:spacing w:before="300" w:after="600" w:line="0" w:lineRule="atLeast"/>
      <w:ind w:hanging="4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0">
    <w:name w:val="Основной текст (17)"/>
    <w:basedOn w:val="Normal"/>
    <w:link w:val="17"/>
    <w:rsid w:val="00CB5D23"/>
    <w:pPr>
      <w:shd w:val="clear" w:color="auto" w:fill="FFFFFF"/>
      <w:spacing w:before="540" w:line="277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5427</Words>
  <Characters>30935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2019-01-30T06:29:00Z</dcterms:created>
  <dcterms:modified xsi:type="dcterms:W3CDTF">2020-05-06T09:08:00Z</dcterms:modified>
</cp:coreProperties>
</file>