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9A" w:rsidRPr="009B5D9A" w:rsidRDefault="009B5D9A" w:rsidP="009B5D9A">
      <w:pPr>
        <w:pStyle w:val="Heading40"/>
        <w:shd w:val="clear" w:color="auto" w:fill="auto"/>
        <w:spacing w:after="160" w:line="360" w:lineRule="auto"/>
        <w:ind w:left="10773" w:firstLine="0"/>
        <w:jc w:val="center"/>
        <w:rPr>
          <w:rFonts w:ascii="GHEA Grapalat" w:hAnsi="GHEA Grapalat"/>
          <w:sz w:val="24"/>
        </w:rPr>
      </w:pPr>
      <w:bookmarkStart w:id="0" w:name="_GoBack"/>
      <w:bookmarkEnd w:id="0"/>
      <w:r w:rsidRPr="009B5D9A">
        <w:rPr>
          <w:rFonts w:ascii="GHEA Grapalat" w:hAnsi="GHEA Grapalat"/>
          <w:sz w:val="24"/>
        </w:rPr>
        <w:t>УТВЕРЖДЕН</w:t>
      </w:r>
    </w:p>
    <w:p w:rsidR="00B12319" w:rsidRPr="009B5D9A" w:rsidRDefault="00474B6C" w:rsidP="009B5D9A">
      <w:pPr>
        <w:pStyle w:val="Heading40"/>
        <w:shd w:val="clear" w:color="auto" w:fill="auto"/>
        <w:spacing w:after="160" w:line="360" w:lineRule="auto"/>
        <w:ind w:left="10773" w:firstLine="0"/>
        <w:jc w:val="center"/>
        <w:rPr>
          <w:rFonts w:ascii="GHEA Grapalat" w:hAnsi="GHEA Grapalat"/>
          <w:sz w:val="24"/>
        </w:rPr>
      </w:pPr>
      <w:r w:rsidRPr="009B5D9A">
        <w:rPr>
          <w:rFonts w:ascii="GHEA Grapalat" w:hAnsi="GHEA Grapalat"/>
          <w:sz w:val="24"/>
        </w:rPr>
        <w:t xml:space="preserve">Решением Высшего Евразийского экономического совета </w:t>
      </w:r>
      <w:r w:rsidR="009B5D9A" w:rsidRPr="009B5D9A">
        <w:rPr>
          <w:rFonts w:ascii="GHEA Grapalat" w:hAnsi="GHEA Grapalat"/>
          <w:sz w:val="24"/>
        </w:rPr>
        <w:br/>
      </w:r>
      <w:r w:rsidRPr="009B5D9A">
        <w:rPr>
          <w:rFonts w:ascii="GHEA Grapalat" w:hAnsi="GHEA Grapalat"/>
          <w:sz w:val="24"/>
        </w:rPr>
        <w:t>от 26 декабря 2016 г. № 22</w:t>
      </w:r>
    </w:p>
    <w:p w:rsidR="00B12319" w:rsidRPr="009B5D9A" w:rsidRDefault="00474B6C" w:rsidP="009B5D9A">
      <w:pPr>
        <w:pStyle w:val="Heading220"/>
        <w:shd w:val="clear" w:color="auto" w:fill="auto"/>
        <w:spacing w:before="0" w:after="160" w:line="360" w:lineRule="auto"/>
        <w:ind w:right="60"/>
        <w:rPr>
          <w:rFonts w:ascii="GHEA Grapalat" w:hAnsi="GHEA Grapalat"/>
          <w:spacing w:val="0"/>
          <w:sz w:val="24"/>
        </w:rPr>
      </w:pPr>
      <w:bookmarkStart w:id="1" w:name="bookmark2"/>
      <w:r w:rsidRPr="009B5D9A">
        <w:rPr>
          <w:rFonts w:ascii="GHEA Grapalat" w:hAnsi="GHEA Grapalat"/>
          <w:spacing w:val="0"/>
          <w:sz w:val="24"/>
        </w:rPr>
        <w:t>ПЛАН ЛИБЕРАЛИЗАЦИИ</w:t>
      </w:r>
      <w:bookmarkEnd w:id="1"/>
    </w:p>
    <w:p w:rsidR="00B12319" w:rsidRDefault="00474B6C" w:rsidP="009B5D9A">
      <w:pPr>
        <w:pStyle w:val="Heading30"/>
        <w:shd w:val="clear" w:color="auto" w:fill="auto"/>
        <w:spacing w:before="0" w:after="160" w:line="360" w:lineRule="auto"/>
        <w:ind w:right="60"/>
        <w:rPr>
          <w:rFonts w:ascii="GHEA Grapalat" w:hAnsi="GHEA Grapalat"/>
          <w:sz w:val="24"/>
          <w:lang w:val="en-US"/>
        </w:rPr>
      </w:pPr>
      <w:bookmarkStart w:id="2" w:name="bookmark3"/>
      <w:r w:rsidRPr="009B5D9A">
        <w:rPr>
          <w:rFonts w:ascii="GHEA Grapalat" w:hAnsi="GHEA Grapalat"/>
          <w:sz w:val="24"/>
        </w:rPr>
        <w:t>по формированию единого рынка услуг в области составления отчетности и бухгалтерского учета</w:t>
      </w:r>
      <w:bookmarkEnd w:id="2"/>
    </w:p>
    <w:p w:rsidR="009B5D9A" w:rsidRPr="009B5D9A" w:rsidRDefault="009B5D9A" w:rsidP="009B5D9A">
      <w:pPr>
        <w:pStyle w:val="Heading30"/>
        <w:shd w:val="clear" w:color="auto" w:fill="auto"/>
        <w:spacing w:before="0" w:after="160" w:line="360" w:lineRule="auto"/>
        <w:ind w:right="60"/>
        <w:rPr>
          <w:rFonts w:ascii="GHEA Grapalat" w:hAnsi="GHEA Grapalat"/>
          <w:sz w:val="24"/>
          <w:lang w:val="en-US"/>
        </w:rPr>
      </w:pPr>
    </w:p>
    <w:tbl>
      <w:tblPr>
        <w:tblOverlap w:val="never"/>
        <w:tblW w:w="15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0"/>
        <w:gridCol w:w="2268"/>
        <w:gridCol w:w="3543"/>
        <w:gridCol w:w="3119"/>
      </w:tblGrid>
      <w:tr w:rsidR="00646AFB" w:rsidRPr="009B5D9A" w:rsidTr="00646AFB">
        <w:trPr>
          <w:tblHeader/>
          <w:jc w:val="center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Срок исполнения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Форма завершения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Исполнитель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1. Определение перечня нормативных правовых актов государств - членов Евразийского экономического союза (далее соответственно - государства-члены, Союз), регулирующих услуги в области: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400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составления финансовых отчетов на основе информации, представляемой клиентом (достоверность составляемых отчетов при этом не гарантируется), ведомственных доходов, балансовых ведомостей, анализа балансовых ведомостей и счетов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(за исключением услуг по составлению деклараций по налогам на предпринимательскую деятельность);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400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проверки, оценки и подготовки финансовых отчетов;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400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классификации и регистрации в бухгалтерских книгах коммерческих операций в денежном выражении или другой единице измерения;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400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составления (заполнения) деклараций по налогам на предпринимательскую деятельность, представляемых вместе с финансовыми отчетами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2016-2017 годы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информация в Евразийскую экономическую комиссию (далее - Комиссия) и в правительства государств-членов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9B5D9A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правительства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474B6C"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2. Проведение сравнительного анализа положений нормативных правовых актов государств-членов, в том числе в части квалификационных и иных требований к персоналу поставщика услуг в области составления отчетности и бухгалтерского учета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2016-2017 годы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информация в Комиссию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 государств-членов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3. Подготовка предложений по гармонизации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законодательства государств-членов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2017 год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решение рабочей группы в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области аудита, составления отчетности и бухгалтерского учета (далее - рабочая группа)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 xml:space="preserve">правительства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государств-членов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4. Подготовка предложений по разработке проекта международного договора по формированию единого рынка услуг в области составления отчетности и бухгалтерского учета (при необходимости)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2017 год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решение рабочей группы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5. Внесение изменений в нормативные правовые акты государств-членов, в том числе в соответствии с международным договором в рамках Союза, если необходимость его разработки и принятия будет обусловлена результатами выполнения мероприятий, предусмотренных пунктами 2 и 3 настоящего плана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2018-2020 годы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нормативные правовые акты государств-членов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9B5D9A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правительства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474B6C"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646AFB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6. Применение на территориях государств-членов международных стандартов финансовой отчетности: 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284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формирование минимального перечня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общественно значимых организаций, составляющих отчетность в соответствии с международными стандартами финансовой отчетности;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284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определение направления гармонизации процесса имплементации международных стандартов финансовой отчетности в государствах-членах; обеспечение применения общественно значимыми</w:t>
            </w:r>
            <w:r w:rsidR="009B5D9A" w:rsidRPr="009B5D9A">
              <w:rPr>
                <w:rStyle w:val="Bodytext21"/>
                <w:rFonts w:ascii="GHEA Grapalat" w:hAnsi="GHEA Grapalat"/>
                <w:sz w:val="24"/>
              </w:rPr>
              <w:t xml:space="preserve"> организациями международных стандартов финансовой отчетности.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2018-2020 годы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 xml:space="preserve">признание международных стандартов финансовой отчетности на территориях </w:t>
            </w:r>
            <w:r w:rsidRPr="009B5D9A">
              <w:rPr>
                <w:rFonts w:ascii="GHEA Grapalat" w:hAnsi="GHEA Grapalat"/>
                <w:sz w:val="24"/>
              </w:rPr>
              <w:lastRenderedPageBreak/>
              <w:t>государств-членов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9B5D9A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п</w:t>
            </w:r>
            <w:r w:rsidR="00474B6C" w:rsidRPr="009B5D9A">
              <w:rPr>
                <w:rFonts w:ascii="GHEA Grapalat" w:hAnsi="GHEA Grapalat"/>
                <w:sz w:val="24"/>
              </w:rPr>
              <w:t>равительства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474B6C"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 w:firstLine="300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Рассмотрение возможности и целесообразности применения на территориях государств-членов международных стандартов финансовой отчетности для малых и средних предприятий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2018-2019 годы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B12319" w:rsidP="00646AFB">
            <w:pPr>
              <w:spacing w:after="160" w:line="360" w:lineRule="auto"/>
              <w:ind w:left="144" w:right="132"/>
              <w:rPr>
                <w:rFonts w:ascii="GHEA Grapalat" w:hAnsi="GHEA Grapalat"/>
                <w:szCs w:val="10"/>
              </w:rPr>
            </w:pPr>
          </w:p>
        </w:tc>
        <w:tc>
          <w:tcPr>
            <w:tcW w:w="3119" w:type="dxa"/>
            <w:shd w:val="clear" w:color="auto" w:fill="FFFFFF"/>
          </w:tcPr>
          <w:p w:rsidR="00B12319" w:rsidRPr="009B5D9A" w:rsidRDefault="00B12319" w:rsidP="00646AFB">
            <w:pPr>
              <w:spacing w:after="160" w:line="360" w:lineRule="auto"/>
              <w:ind w:left="144" w:right="132"/>
              <w:rPr>
                <w:rFonts w:ascii="GHEA Grapalat" w:hAnsi="GHEA Grapalat"/>
                <w:szCs w:val="10"/>
              </w:rPr>
            </w:pP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7. Мониторинг исполнения мероприятий, предусмотренных пунктами 1 - 6 настоящего плана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ежегодно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информация в правительства государств-членов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8. Принятие решения Высшего Евразийского экономического совета, устанавливающего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обязательства государств-членов по применению правил единого рынка услуг в области составления отчетности и бухгалтерского учета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2020 год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решение Высшего Евразийского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экономического совета</w:t>
            </w: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правительства</w:t>
            </w:r>
            <w:r w:rsidR="009B5D9A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государств-членов</w:t>
            </w:r>
          </w:p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646AFB" w:rsidRPr="009B5D9A" w:rsidTr="00646AFB">
        <w:trPr>
          <w:jc w:val="center"/>
        </w:trPr>
        <w:tc>
          <w:tcPr>
            <w:tcW w:w="6250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9. Начало функционирования единого рынка услуг в области составления отчетности и бухгалтерского учета</w:t>
            </w:r>
          </w:p>
        </w:tc>
        <w:tc>
          <w:tcPr>
            <w:tcW w:w="2268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right="-10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2021 год</w:t>
            </w:r>
          </w:p>
        </w:tc>
        <w:tc>
          <w:tcPr>
            <w:tcW w:w="3543" w:type="dxa"/>
            <w:shd w:val="clear" w:color="auto" w:fill="FFFFFF"/>
          </w:tcPr>
          <w:p w:rsidR="00B12319" w:rsidRPr="009B5D9A" w:rsidRDefault="00B12319" w:rsidP="00646AFB">
            <w:pPr>
              <w:spacing w:after="160" w:line="360" w:lineRule="auto"/>
              <w:ind w:left="144" w:right="132"/>
              <w:rPr>
                <w:rFonts w:ascii="GHEA Grapalat" w:hAnsi="GHEA Grapalat"/>
                <w:szCs w:val="10"/>
              </w:rPr>
            </w:pPr>
          </w:p>
        </w:tc>
        <w:tc>
          <w:tcPr>
            <w:tcW w:w="3119" w:type="dxa"/>
            <w:shd w:val="clear" w:color="auto" w:fill="FFFFFF"/>
          </w:tcPr>
          <w:p w:rsidR="00B12319" w:rsidRPr="009B5D9A" w:rsidRDefault="00474B6C" w:rsidP="00646AFB">
            <w:pPr>
              <w:pStyle w:val="Bodytext20"/>
              <w:shd w:val="clear" w:color="auto" w:fill="auto"/>
              <w:spacing w:after="160" w:line="360" w:lineRule="auto"/>
              <w:ind w:left="144" w:right="132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правительства</w:t>
            </w:r>
            <w:r w:rsidR="009B5D9A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>государств-членов</w:t>
            </w:r>
          </w:p>
        </w:tc>
      </w:tr>
    </w:tbl>
    <w:p w:rsidR="00B12319" w:rsidRPr="009B5D9A" w:rsidRDefault="00B12319" w:rsidP="009B5D9A">
      <w:pPr>
        <w:spacing w:after="160" w:line="360" w:lineRule="auto"/>
        <w:rPr>
          <w:rFonts w:ascii="GHEA Grapalat" w:hAnsi="GHEA Grapalat"/>
          <w:szCs w:val="2"/>
        </w:rPr>
      </w:pPr>
    </w:p>
    <w:p w:rsidR="009B5D9A" w:rsidRDefault="009B5D9A">
      <w:pPr>
        <w:rPr>
          <w:rFonts w:ascii="GHEA Grapalat" w:hAnsi="GHEA Grapalat"/>
          <w:szCs w:val="2"/>
        </w:rPr>
      </w:pPr>
      <w:r>
        <w:rPr>
          <w:rFonts w:ascii="GHEA Grapalat" w:hAnsi="GHEA Grapalat"/>
          <w:szCs w:val="2"/>
        </w:rPr>
        <w:br w:type="page"/>
      </w:r>
    </w:p>
    <w:p w:rsidR="009B5D9A" w:rsidRPr="009B5D9A" w:rsidRDefault="009B5D9A" w:rsidP="00646AFB">
      <w:pPr>
        <w:pStyle w:val="Heading40"/>
        <w:shd w:val="clear" w:color="auto" w:fill="auto"/>
        <w:spacing w:after="160" w:line="360" w:lineRule="auto"/>
        <w:ind w:left="10773" w:firstLine="0"/>
        <w:jc w:val="center"/>
        <w:rPr>
          <w:rFonts w:ascii="GHEA Grapalat" w:hAnsi="GHEA Grapalat"/>
          <w:sz w:val="24"/>
          <w:lang w:val="en-US"/>
        </w:rPr>
      </w:pPr>
      <w:r w:rsidRPr="009B5D9A">
        <w:rPr>
          <w:rStyle w:val="Headerorfooter1"/>
          <w:rFonts w:ascii="GHEA Grapalat" w:hAnsi="GHEA Grapalat"/>
          <w:sz w:val="24"/>
        </w:rPr>
        <w:lastRenderedPageBreak/>
        <w:t>УТВЕРЖДЕН</w:t>
      </w:r>
    </w:p>
    <w:p w:rsidR="00B12319" w:rsidRPr="009B5D9A" w:rsidRDefault="00474B6C" w:rsidP="00646AFB">
      <w:pPr>
        <w:pStyle w:val="Heading40"/>
        <w:shd w:val="clear" w:color="auto" w:fill="auto"/>
        <w:spacing w:after="160" w:line="360" w:lineRule="auto"/>
        <w:ind w:left="10773" w:firstLine="0"/>
        <w:jc w:val="center"/>
        <w:rPr>
          <w:rFonts w:ascii="GHEA Grapalat" w:hAnsi="GHEA Grapalat"/>
          <w:sz w:val="24"/>
        </w:rPr>
      </w:pPr>
      <w:r w:rsidRPr="009B5D9A">
        <w:rPr>
          <w:rFonts w:ascii="GHEA Grapalat" w:hAnsi="GHEA Grapalat"/>
          <w:sz w:val="24"/>
        </w:rPr>
        <w:t xml:space="preserve">Решением Высшего Евразийского экономического совета </w:t>
      </w:r>
      <w:r w:rsidR="009B5D9A" w:rsidRPr="009B5D9A">
        <w:rPr>
          <w:rFonts w:ascii="GHEA Grapalat" w:hAnsi="GHEA Grapalat"/>
          <w:sz w:val="24"/>
        </w:rPr>
        <w:br/>
      </w:r>
      <w:r w:rsidRPr="009B5D9A">
        <w:rPr>
          <w:rFonts w:ascii="GHEA Grapalat" w:hAnsi="GHEA Grapalat"/>
          <w:sz w:val="24"/>
        </w:rPr>
        <w:t>от 26 декабря 2016 г. № 22</w:t>
      </w:r>
    </w:p>
    <w:p w:rsidR="00646AFB" w:rsidRDefault="00646AFB" w:rsidP="00646AFB">
      <w:pPr>
        <w:pStyle w:val="Heading30"/>
        <w:shd w:val="clear" w:color="auto" w:fill="auto"/>
        <w:spacing w:before="0" w:after="160" w:line="360" w:lineRule="auto"/>
        <w:ind w:right="660"/>
        <w:rPr>
          <w:rStyle w:val="Heading3Spacing3pt"/>
          <w:rFonts w:ascii="GHEA Grapalat" w:hAnsi="GHEA Grapalat"/>
          <w:b/>
          <w:bCs/>
          <w:spacing w:val="0"/>
          <w:sz w:val="24"/>
        </w:rPr>
      </w:pPr>
      <w:bookmarkStart w:id="3" w:name="bookmark4"/>
    </w:p>
    <w:p w:rsidR="00646AFB" w:rsidRDefault="00474B6C" w:rsidP="00646AFB">
      <w:pPr>
        <w:pStyle w:val="Heading30"/>
        <w:shd w:val="clear" w:color="auto" w:fill="auto"/>
        <w:spacing w:before="0" w:after="160" w:line="360" w:lineRule="auto"/>
        <w:ind w:right="660"/>
        <w:rPr>
          <w:rStyle w:val="Heading3Spacing3pt"/>
          <w:rFonts w:ascii="GHEA Grapalat" w:hAnsi="GHEA Grapalat"/>
          <w:b/>
          <w:bCs/>
          <w:spacing w:val="0"/>
          <w:sz w:val="24"/>
        </w:rPr>
      </w:pPr>
      <w:r w:rsidRPr="009B5D9A">
        <w:rPr>
          <w:rStyle w:val="Heading3Spacing3pt"/>
          <w:rFonts w:ascii="GHEA Grapalat" w:hAnsi="GHEA Grapalat"/>
          <w:b/>
          <w:bCs/>
          <w:spacing w:val="0"/>
          <w:sz w:val="24"/>
        </w:rPr>
        <w:t>ПЛАН ЛИБЕРАЛИЗАЦИИ</w:t>
      </w:r>
    </w:p>
    <w:p w:rsidR="00B12319" w:rsidRDefault="00474B6C" w:rsidP="00646AFB">
      <w:pPr>
        <w:pStyle w:val="Heading30"/>
        <w:shd w:val="clear" w:color="auto" w:fill="auto"/>
        <w:spacing w:before="0" w:after="160" w:line="360" w:lineRule="auto"/>
        <w:ind w:right="660"/>
        <w:rPr>
          <w:rFonts w:ascii="GHEA Grapalat" w:hAnsi="GHEA Grapalat"/>
          <w:sz w:val="24"/>
        </w:rPr>
      </w:pPr>
      <w:r w:rsidRPr="009B5D9A">
        <w:rPr>
          <w:rStyle w:val="Heading3Spacing3pt"/>
          <w:rFonts w:ascii="GHEA Grapalat" w:hAnsi="GHEA Grapalat"/>
          <w:b/>
          <w:bCs/>
          <w:spacing w:val="0"/>
          <w:sz w:val="24"/>
        </w:rPr>
        <w:t xml:space="preserve">по </w:t>
      </w:r>
      <w:r w:rsidRPr="009B5D9A">
        <w:rPr>
          <w:rFonts w:ascii="GHEA Grapalat" w:hAnsi="GHEA Grapalat"/>
          <w:sz w:val="24"/>
        </w:rPr>
        <w:t>формированию единого рынка услуг в области аудита</w:t>
      </w:r>
      <w:bookmarkEnd w:id="3"/>
    </w:p>
    <w:p w:rsidR="00646AFB" w:rsidRPr="009B5D9A" w:rsidRDefault="00646AFB" w:rsidP="00646AFB">
      <w:pPr>
        <w:pStyle w:val="Heading30"/>
        <w:shd w:val="clear" w:color="auto" w:fill="auto"/>
        <w:spacing w:before="0" w:after="160" w:line="360" w:lineRule="auto"/>
        <w:ind w:right="660"/>
        <w:rPr>
          <w:rFonts w:ascii="GHEA Grapalat" w:hAnsi="GHEA Grapalat"/>
          <w:sz w:val="24"/>
        </w:rPr>
      </w:pPr>
    </w:p>
    <w:tbl>
      <w:tblPr>
        <w:tblOverlap w:val="never"/>
        <w:tblW w:w="0" w:type="auto"/>
        <w:jc w:val="center"/>
        <w:tblInd w:w="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4"/>
        <w:gridCol w:w="2126"/>
        <w:gridCol w:w="4704"/>
        <w:gridCol w:w="14"/>
        <w:gridCol w:w="4075"/>
      </w:tblGrid>
      <w:tr w:rsidR="00737D54" w:rsidRPr="009B5D9A" w:rsidTr="00737D54">
        <w:trPr>
          <w:jc w:val="center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Срок исполнения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Форма завершения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Исполнитель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1. Разработка проекта соглашения об аудиторской деятельности на территории Евразийского экономического союза (далее соответственно - соглашение, Союз)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2017 год</w:t>
            </w:r>
          </w:p>
        </w:tc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соглашение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 государств - членов Союза Евразийская экономическая комиссия (далее соответственно - государства-члены, Комиссия)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2. Анализ законодательства государств - членов на предмет соответствия нормам соглашения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2017 год</w:t>
            </w:r>
          </w:p>
        </w:tc>
        <w:tc>
          <w:tcPr>
            <w:tcW w:w="470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информация в Комиссию</w:t>
            </w:r>
          </w:p>
        </w:tc>
        <w:tc>
          <w:tcPr>
            <w:tcW w:w="4089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3. Подготовка предложений по приведению законодательства государств-членов в соответствие с нормами соглашения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2018 год</w:t>
            </w:r>
          </w:p>
        </w:tc>
        <w:tc>
          <w:tcPr>
            <w:tcW w:w="470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проекты нормативных правовых актов государств-членов</w:t>
            </w:r>
          </w:p>
        </w:tc>
        <w:tc>
          <w:tcPr>
            <w:tcW w:w="4089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4. Приведение законодательства государств-членов в соответствие с нормами соглашения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2018-2020 годы</w:t>
            </w:r>
          </w:p>
        </w:tc>
        <w:tc>
          <w:tcPr>
            <w:tcW w:w="470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нормативные правовые акты государств-членов</w:t>
            </w:r>
          </w:p>
        </w:tc>
        <w:tc>
          <w:tcPr>
            <w:tcW w:w="4089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5. Определение порядка и способа обмена информацией о регистрации аудиторских организаций, индивидуальных аудиторов и аудиторов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2"/>
                <w:rFonts w:ascii="GHEA Grapalat" w:hAnsi="GHEA Grapalat"/>
                <w:sz w:val="24"/>
              </w:rPr>
              <w:t>2017-2018</w:t>
            </w:r>
            <w:r w:rsidRPr="009B5D9A">
              <w:rPr>
                <w:rFonts w:ascii="GHEA Grapalat" w:hAnsi="GHEA Grapalat"/>
                <w:sz w:val="24"/>
              </w:rPr>
              <w:t xml:space="preserve"> годы</w:t>
            </w:r>
          </w:p>
        </w:tc>
        <w:tc>
          <w:tcPr>
            <w:tcW w:w="470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международный договор в рамках Союза или акт органа Союза, утверждающий порядок и способ обмена информацией о регистрации аудиторских</w:t>
            </w:r>
            <w:r w:rsidR="00646AFB" w:rsidRPr="009B5D9A">
              <w:rPr>
                <w:rFonts w:ascii="GHEA Grapalat" w:hAnsi="GHEA Grapalat"/>
                <w:sz w:val="24"/>
              </w:rPr>
              <w:t xml:space="preserve"> организаций, индивидуальных аудиторов и аудиторов</w:t>
            </w:r>
          </w:p>
        </w:tc>
        <w:tc>
          <w:tcPr>
            <w:tcW w:w="4089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6. Формирование реестров аудиторских организаций, индивидуальных аудиторов и аудиторов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2018</w:t>
            </w:r>
            <w:r w:rsidRPr="009B5D9A">
              <w:rPr>
                <w:rStyle w:val="Bodytext22"/>
                <w:rFonts w:ascii="GHEA Grapalat" w:hAnsi="GHEA Grapalat"/>
                <w:sz w:val="24"/>
              </w:rPr>
              <w:t>-2019</w:t>
            </w:r>
            <w:r w:rsidRPr="009B5D9A">
              <w:rPr>
                <w:rFonts w:ascii="GHEA Grapalat" w:hAnsi="GHEA Grapalat"/>
                <w:sz w:val="24"/>
              </w:rPr>
              <w:t xml:space="preserve"> годы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нормативный правовой акт государства-члена, определяющий орган государства-члена ответственный за ведение реестра аудиторских организаций, индивидуальных аудиторов и аудиторов и порядок его ведения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lastRenderedPageBreak/>
              <w:t>7. Переход на международные стандарты аудита на территориях государств-членов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2018</w:t>
            </w:r>
            <w:r w:rsidRPr="009B5D9A">
              <w:rPr>
                <w:rStyle w:val="Bodytext22"/>
                <w:rFonts w:ascii="GHEA Grapalat" w:hAnsi="GHEA Grapalat"/>
                <w:sz w:val="24"/>
              </w:rPr>
              <w:t>-2020</w:t>
            </w:r>
            <w:r w:rsidRPr="009B5D9A">
              <w:rPr>
                <w:rFonts w:ascii="GHEA Grapalat" w:hAnsi="GHEA Grapalat"/>
                <w:sz w:val="24"/>
              </w:rPr>
              <w:t xml:space="preserve"> годы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внесение изменений в нормативные правовые акты государств-членов, обеспечивающих признание международных стандартов ау</w:t>
            </w:r>
            <w:r w:rsidR="00737D54">
              <w:rPr>
                <w:rFonts w:ascii="GHEA Grapalat" w:hAnsi="GHEA Grapalat"/>
                <w:sz w:val="24"/>
              </w:rPr>
              <w:t>дита на территориях государств-</w:t>
            </w:r>
            <w:r w:rsidRPr="009B5D9A">
              <w:rPr>
                <w:rFonts w:ascii="GHEA Grapalat" w:hAnsi="GHEA Grapalat"/>
                <w:sz w:val="24"/>
              </w:rPr>
              <w:t>членов;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обеспечение доступа к признанным международным стандартам аудита на русском языке и на государственных языках государств-членов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 государств-членов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8. Применение на территории Союза Кодекса этики профессиональных бухгалтеров (в части аудиторской деятельности), принятого Международной федерацией бухгалтеров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2"/>
                <w:rFonts w:ascii="GHEA Grapalat" w:hAnsi="GHEA Grapalat"/>
                <w:sz w:val="24"/>
              </w:rPr>
              <w:t>2018-2019</w:t>
            </w:r>
            <w:r w:rsidRPr="009B5D9A">
              <w:rPr>
                <w:rFonts w:ascii="GHEA Grapalat" w:hAnsi="GHEA Grapalat"/>
                <w:sz w:val="24"/>
              </w:rPr>
              <w:t xml:space="preserve"> годы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внесение изменений в нормативные правовые акты государств-членов, обеспечивающих применение на территории Союза Кодекса этики профессиональных бухгалтеров (в части аудиторской деятельности)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Fonts w:ascii="GHEA Grapalat" w:hAnsi="GHEA Grapalat"/>
                <w:sz w:val="24"/>
              </w:rPr>
              <w:t>государств-членов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9. Определение порядка взаимодействия органов, уполномоченных на проведение внешнего контроля качества работы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аудиторских организаций и индивидуальных аудиторов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2018 год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международный договор в рамках Союза или акт органа Союза, утверждающий порядок взаимодействия органов,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уполномоченных на проведение внешнего контроля качества работы аудиторских организаций и индивидуальных аудиторов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правительства</w:t>
            </w:r>
            <w:r w:rsidR="00646AFB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10. Определение порядка взаимодействия органов, уполномоченных на регулирование аудиторской деятельности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2018 год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международный договор в рамках Союза или акт органа Союза, утверждающий порядок взаимодействия органов, уполномоченных на регулирование аудиторской деятельности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11. Мониторинг исполнения мероприятий, предусмотренных пунктами </w:t>
            </w:r>
            <w:r w:rsidRPr="009B5D9A">
              <w:rPr>
                <w:rStyle w:val="Bodytext2Spacing2pt"/>
                <w:rFonts w:ascii="GHEA Grapalat" w:hAnsi="GHEA Grapalat"/>
                <w:spacing w:val="0"/>
                <w:sz w:val="24"/>
              </w:rPr>
              <w:t>1-10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 xml:space="preserve"> настоящего плана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ежегодно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информация в правительства государств-членов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12.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области аудита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2021 год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решение Высшего Евразийского экономического совета</w:t>
            </w: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>государств-членов</w:t>
            </w:r>
          </w:p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Комиссия</w:t>
            </w:r>
          </w:p>
        </w:tc>
      </w:tr>
      <w:tr w:rsidR="00737D54" w:rsidRPr="009B5D9A" w:rsidTr="00737D54">
        <w:trPr>
          <w:jc w:val="center"/>
        </w:trPr>
        <w:tc>
          <w:tcPr>
            <w:tcW w:w="4724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lastRenderedPageBreak/>
              <w:t>13. Начало функционирования единого рынка услуг в области аудита</w:t>
            </w:r>
          </w:p>
        </w:tc>
        <w:tc>
          <w:tcPr>
            <w:tcW w:w="2126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/>
              <w:jc w:val="center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2022 год</w:t>
            </w:r>
          </w:p>
        </w:tc>
        <w:tc>
          <w:tcPr>
            <w:tcW w:w="4718" w:type="dxa"/>
            <w:gridSpan w:val="2"/>
            <w:shd w:val="clear" w:color="auto" w:fill="FFFFFF"/>
          </w:tcPr>
          <w:p w:rsidR="00B12319" w:rsidRPr="009B5D9A" w:rsidRDefault="00B12319" w:rsidP="00737D54">
            <w:pPr>
              <w:spacing w:after="160" w:line="360" w:lineRule="auto"/>
              <w:ind w:left="36" w:right="86"/>
              <w:rPr>
                <w:rFonts w:ascii="GHEA Grapalat" w:hAnsi="GHEA Grapalat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B12319" w:rsidRPr="009B5D9A" w:rsidRDefault="00474B6C" w:rsidP="00737D54">
            <w:pPr>
              <w:pStyle w:val="Bodytext20"/>
              <w:shd w:val="clear" w:color="auto" w:fill="auto"/>
              <w:spacing w:after="160" w:line="360" w:lineRule="auto"/>
              <w:ind w:left="36" w:right="86"/>
              <w:rPr>
                <w:rFonts w:ascii="GHEA Grapalat" w:hAnsi="GHEA Grapalat"/>
                <w:sz w:val="24"/>
              </w:rPr>
            </w:pPr>
            <w:r w:rsidRPr="009B5D9A">
              <w:rPr>
                <w:rStyle w:val="Bodytext21"/>
                <w:rFonts w:ascii="GHEA Grapalat" w:hAnsi="GHEA Grapalat"/>
                <w:sz w:val="24"/>
              </w:rPr>
              <w:t>правительства</w:t>
            </w:r>
            <w:r w:rsidR="00646AFB">
              <w:rPr>
                <w:rStyle w:val="Bodytext21"/>
                <w:rFonts w:ascii="GHEA Grapalat" w:hAnsi="GHEA Grapalat"/>
                <w:sz w:val="24"/>
              </w:rPr>
              <w:t xml:space="preserve"> </w:t>
            </w:r>
            <w:r w:rsidRPr="009B5D9A">
              <w:rPr>
                <w:rStyle w:val="Bodytext21"/>
                <w:rFonts w:ascii="GHEA Grapalat" w:hAnsi="GHEA Grapalat"/>
                <w:sz w:val="24"/>
              </w:rPr>
              <w:t>государств-членов</w:t>
            </w:r>
          </w:p>
        </w:tc>
      </w:tr>
    </w:tbl>
    <w:p w:rsidR="00B12319" w:rsidRPr="009B5D9A" w:rsidRDefault="00B12319" w:rsidP="009B5D9A">
      <w:pPr>
        <w:spacing w:after="160" w:line="360" w:lineRule="auto"/>
        <w:rPr>
          <w:rFonts w:ascii="GHEA Grapalat" w:hAnsi="GHEA Grapalat"/>
          <w:szCs w:val="2"/>
        </w:rPr>
      </w:pPr>
    </w:p>
    <w:sectPr w:rsidR="00B12319" w:rsidRPr="009B5D9A" w:rsidSect="00B12319">
      <w:headerReference w:type="even" r:id="rId7"/>
      <w:headerReference w:type="default" r:id="rId8"/>
      <w:pgSz w:w="16840" w:h="11900" w:orient="landscape"/>
      <w:pgMar w:top="1251" w:right="609" w:bottom="993" w:left="1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D86" w:rsidRDefault="00257D86" w:rsidP="00B12319">
      <w:r>
        <w:separator/>
      </w:r>
    </w:p>
  </w:endnote>
  <w:endnote w:type="continuationSeparator" w:id="0">
    <w:p w:rsidR="00257D86" w:rsidRDefault="00257D86" w:rsidP="00B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D86" w:rsidRDefault="00257D86"/>
  </w:footnote>
  <w:footnote w:type="continuationSeparator" w:id="0">
    <w:p w:rsidR="00257D86" w:rsidRDefault="00257D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19" w:rsidRDefault="00B123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319" w:rsidRDefault="00B123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2319"/>
    <w:rsid w:val="00257D86"/>
    <w:rsid w:val="00474B6C"/>
    <w:rsid w:val="00646AFB"/>
    <w:rsid w:val="00737D54"/>
    <w:rsid w:val="008641A5"/>
    <w:rsid w:val="009B5D9A"/>
    <w:rsid w:val="00B1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23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2319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4pt">
    <w:name w:val="Heading #2 + Spacing 4 pt"/>
    <w:basedOn w:val="Heading2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4pt">
    <w:name w:val="Body text (3) + 14 pt"/>
    <w:aliases w:val="Bold,Spacing 2 pt"/>
    <w:basedOn w:val="Bodytext3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4pt">
    <w:name w:val="Body text (2) + 14 pt"/>
    <w:aliases w:val="Bold"/>
    <w:basedOn w:val="Bodytext2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4">
    <w:name w:val="Heading #4_"/>
    <w:basedOn w:val="DefaultParagraphFont"/>
    <w:link w:val="Heading40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Heading3">
    <w:name w:val="Heading #3_"/>
    <w:basedOn w:val="DefaultParagraphFont"/>
    <w:link w:val="Heading30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Spacing3pt">
    <w:name w:val="Heading #3 + Spacing 3 pt"/>
    <w:basedOn w:val="Heading3"/>
    <w:rsid w:val="00B123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12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B12319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B12319"/>
    <w:pPr>
      <w:shd w:val="clear" w:color="auto" w:fill="FFFFFF"/>
      <w:spacing w:before="102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30">
    <w:name w:val="Body text (3)"/>
    <w:basedOn w:val="Normal"/>
    <w:link w:val="Bodytext3"/>
    <w:rsid w:val="00B12319"/>
    <w:pPr>
      <w:shd w:val="clear" w:color="auto" w:fill="FFFFFF"/>
      <w:spacing w:before="36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12319"/>
    <w:pPr>
      <w:shd w:val="clear" w:color="auto" w:fill="FFFFFF"/>
      <w:spacing w:before="60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B1231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40">
    <w:name w:val="Heading #4"/>
    <w:basedOn w:val="Normal"/>
    <w:link w:val="Heading4"/>
    <w:rsid w:val="00B12319"/>
    <w:pPr>
      <w:shd w:val="clear" w:color="auto" w:fill="FFFFFF"/>
      <w:spacing w:after="660" w:line="342" w:lineRule="exact"/>
      <w:ind w:firstLine="1120"/>
      <w:outlineLvl w:val="3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B123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B12319"/>
    <w:pPr>
      <w:shd w:val="clear" w:color="auto" w:fill="FFFFFF"/>
      <w:spacing w:before="66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Heading30">
    <w:name w:val="Heading #3"/>
    <w:basedOn w:val="Normal"/>
    <w:link w:val="Heading3"/>
    <w:rsid w:val="00B12319"/>
    <w:pPr>
      <w:shd w:val="clear" w:color="auto" w:fill="FFFFFF"/>
      <w:spacing w:before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15pt">
    <w:name w:val="Body text (2) + 15 pt"/>
    <w:basedOn w:val="Bodytext2"/>
    <w:rsid w:val="009B5D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Header">
    <w:name w:val="header"/>
    <w:basedOn w:val="Normal"/>
    <w:link w:val="HeaderChar"/>
    <w:uiPriority w:val="99"/>
    <w:semiHidden/>
    <w:unhideWhenUsed/>
    <w:rsid w:val="009B5D9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D9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B5D9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D9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2017-04-27T16:15:00Z</dcterms:created>
  <dcterms:modified xsi:type="dcterms:W3CDTF">2017-12-22T13:09:00Z</dcterms:modified>
</cp:coreProperties>
</file>