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409C" w14:textId="77777777" w:rsidR="00211DEC" w:rsidRDefault="00211DEC" w:rsidP="00211DEC">
      <w:pPr>
        <w:pStyle w:val="ListParagraph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</w:rPr>
      </w:pPr>
    </w:p>
    <w:p w14:paraId="45096E13" w14:textId="77777777" w:rsidR="00211DEC" w:rsidRPr="004609F1" w:rsidRDefault="00211DEC" w:rsidP="004609F1">
      <w:pPr>
        <w:autoSpaceDE w:val="0"/>
        <w:autoSpaceDN w:val="0"/>
        <w:adjustRightInd w:val="0"/>
        <w:spacing w:after="0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4609F1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14:paraId="15D09ABC" w14:textId="77777777" w:rsidR="00211DEC" w:rsidRPr="004609F1" w:rsidRDefault="00211DEC" w:rsidP="004609F1">
      <w:pPr>
        <w:autoSpaceDE w:val="0"/>
        <w:autoSpaceDN w:val="0"/>
        <w:adjustRightInd w:val="0"/>
        <w:spacing w:after="0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4609F1">
        <w:rPr>
          <w:rFonts w:ascii="GHEA Grapalat" w:hAnsi="GHEA Grapalat"/>
          <w:sz w:val="20"/>
          <w:szCs w:val="20"/>
          <w:lang w:val="hy-AM"/>
        </w:rPr>
        <w:t>ՀՀ առողջապահության նախարարի</w:t>
      </w:r>
    </w:p>
    <w:p w14:paraId="7ECCCAE0" w14:textId="57995685" w:rsidR="00211DEC" w:rsidRPr="004609F1" w:rsidRDefault="00211DEC" w:rsidP="004609F1">
      <w:pPr>
        <w:autoSpaceDE w:val="0"/>
        <w:autoSpaceDN w:val="0"/>
        <w:adjustRightInd w:val="0"/>
        <w:spacing w:after="0"/>
        <w:ind w:firstLine="851"/>
        <w:jc w:val="right"/>
        <w:rPr>
          <w:rFonts w:ascii="GHEA Grapalat" w:hAnsi="GHEA Grapalat"/>
          <w:sz w:val="20"/>
          <w:szCs w:val="20"/>
          <w:lang w:val="hy-AM"/>
        </w:rPr>
      </w:pPr>
      <w:r w:rsidRPr="004609F1">
        <w:rPr>
          <w:rFonts w:ascii="GHEA Grapalat" w:hAnsi="GHEA Grapalat"/>
          <w:sz w:val="20"/>
          <w:szCs w:val="20"/>
          <w:lang w:val="hy-AM"/>
        </w:rPr>
        <w:t>20</w:t>
      </w:r>
      <w:r w:rsidR="004A4CA5" w:rsidRPr="004609F1">
        <w:rPr>
          <w:rFonts w:ascii="GHEA Grapalat" w:hAnsi="GHEA Grapalat"/>
          <w:sz w:val="20"/>
          <w:szCs w:val="20"/>
          <w:lang w:val="hy-AM"/>
        </w:rPr>
        <w:t>26</w:t>
      </w:r>
      <w:r w:rsidR="00B55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609F1">
        <w:rPr>
          <w:rFonts w:ascii="GHEA Grapalat" w:hAnsi="GHEA Grapalat"/>
          <w:sz w:val="20"/>
          <w:szCs w:val="20"/>
          <w:lang w:val="hy-AM"/>
        </w:rPr>
        <w:t>թ</w:t>
      </w:r>
      <w:r w:rsidR="00B5577D">
        <w:rPr>
          <w:rFonts w:ascii="GHEA Grapalat" w:hAnsi="GHEA Grapalat"/>
          <w:sz w:val="20"/>
          <w:szCs w:val="20"/>
          <w:lang w:val="hy-AM"/>
        </w:rPr>
        <w:t>վականի հունվար «16»</w:t>
      </w:r>
      <w:r w:rsidRPr="004609F1">
        <w:rPr>
          <w:rFonts w:ascii="GHEA Grapalat" w:hAnsi="GHEA Grapalat"/>
          <w:sz w:val="20"/>
          <w:szCs w:val="20"/>
          <w:lang w:val="hy-AM"/>
        </w:rPr>
        <w:t xml:space="preserve">-ի </w:t>
      </w:r>
      <w:r w:rsidR="00B5577D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609F1">
        <w:rPr>
          <w:rFonts w:ascii="GHEA Grapalat" w:hAnsi="GHEA Grapalat"/>
          <w:sz w:val="20"/>
          <w:szCs w:val="20"/>
          <w:lang w:val="hy-AM"/>
        </w:rPr>
        <w:t xml:space="preserve">N </w:t>
      </w:r>
      <w:r w:rsidR="00B5577D">
        <w:rPr>
          <w:rFonts w:ascii="GHEA Grapalat" w:hAnsi="GHEA Grapalat"/>
          <w:sz w:val="20"/>
          <w:szCs w:val="20"/>
          <w:lang w:val="hy-AM"/>
        </w:rPr>
        <w:t>04</w:t>
      </w:r>
      <w:r w:rsidRPr="004609F1">
        <w:rPr>
          <w:rFonts w:ascii="GHEA Grapalat" w:hAnsi="GHEA Grapalat"/>
          <w:sz w:val="20"/>
          <w:szCs w:val="20"/>
          <w:lang w:val="hy-AM"/>
        </w:rPr>
        <w:t>-Ն հրամանի</w:t>
      </w:r>
    </w:p>
    <w:p w14:paraId="5AF0618B" w14:textId="48DD4CD2" w:rsidR="00211DEC" w:rsidRPr="00DC5BD0" w:rsidRDefault="00211DEC" w:rsidP="00772849">
      <w:pPr>
        <w:pStyle w:val="ListParagraph"/>
        <w:spacing w:after="0" w:line="360" w:lineRule="auto"/>
        <w:ind w:left="0"/>
        <w:rPr>
          <w:rFonts w:ascii="GHEA Grapalat" w:hAnsi="GHEA Grapalat" w:cs="GHEA Grapalat"/>
          <w:b/>
          <w:bCs/>
          <w:color w:val="000000"/>
          <w:lang w:val="hy-AM"/>
        </w:rPr>
      </w:pPr>
    </w:p>
    <w:p w14:paraId="52DAF18E" w14:textId="77777777" w:rsidR="00211DEC" w:rsidRPr="00DC5BD0" w:rsidRDefault="00211DEC" w:rsidP="00211DEC">
      <w:pPr>
        <w:pStyle w:val="ListParagraph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</w:p>
    <w:p w14:paraId="3471A92E" w14:textId="1BE0207F" w:rsidR="00211DEC" w:rsidRDefault="00B30B65" w:rsidP="00211DEC">
      <w:pPr>
        <w:pStyle w:val="ListParagraph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>
        <w:rPr>
          <w:rFonts w:ascii="GHEA Grapalat" w:hAnsi="GHEA Grapalat" w:cs="GHEA Grapalat"/>
          <w:b/>
          <w:bCs/>
          <w:color w:val="000000"/>
          <w:lang w:val="hy-AM"/>
        </w:rPr>
        <w:t xml:space="preserve">ԳՈՐԾԵԼԱԿԱՐԳ </w:t>
      </w:r>
    </w:p>
    <w:p w14:paraId="779BA3BB" w14:textId="540DA2C6" w:rsidR="004A4CA5" w:rsidRDefault="004609F1" w:rsidP="00211DEC">
      <w:pPr>
        <w:pStyle w:val="ListParagraph"/>
        <w:spacing w:after="0" w:line="360" w:lineRule="auto"/>
        <w:ind w:left="0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4609F1">
        <w:rPr>
          <w:rFonts w:ascii="GHEA Grapalat" w:hAnsi="GHEA Grapalat" w:cs="GHEA Grapalat"/>
          <w:b/>
          <w:bCs/>
          <w:color w:val="000000"/>
          <w:lang w:val="hy-AM"/>
        </w:rPr>
        <w:t>ՄԱՆՐԷԱԲԱՆՈՐԵՆ ՀԱՍՏԱՏՎԱԾ ԴԵՂԱԶԳԱՅՈՒՆ ԹՈՔԱՅԻՆ ՏՈՒԲԵՐԿՈՒԼՈԶՈՎ  ՊԱՑԻԵՆՏԻ (ԻՆԴԵՔՍ ԴԵՊՔԻ) 5-14 ՏԱՐԵԿԱՆ ԿՈՆՏԱԿՏԱՎՈՐՆԵՐԻ ՇՐՋԱՆՈՒՄ ՏՈՒԲԵՐԿՈՒԼՈԶԻ ԿԱՆԽԱՐԳԵԼԻՉ ԲՈՒԺՄԱՆ ՎԱՐՄԱՆ</w:t>
      </w:r>
    </w:p>
    <w:p w14:paraId="2A2A5F9F" w14:textId="77777777" w:rsidR="004609F1" w:rsidRPr="00DC5BD0" w:rsidRDefault="004609F1" w:rsidP="00211DEC">
      <w:pPr>
        <w:pStyle w:val="ListParagraph"/>
        <w:spacing w:after="0" w:line="360" w:lineRule="auto"/>
        <w:ind w:left="0"/>
        <w:jc w:val="center"/>
        <w:rPr>
          <w:rFonts w:ascii="GHEA Grapalat" w:hAnsi="GHEA Grapalat"/>
          <w:lang w:val="hy-AM"/>
        </w:rPr>
      </w:pPr>
    </w:p>
    <w:p w14:paraId="57C671E2" w14:textId="3907A118" w:rsidR="008F7F63" w:rsidRPr="00F90016" w:rsidRDefault="00F90016" w:rsidP="00F90016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6347">
        <w:rPr>
          <w:rFonts w:ascii="GHEA Grapalat" w:hAnsi="GHEA Grapalat"/>
          <w:sz w:val="24"/>
          <w:szCs w:val="24"/>
          <w:lang w:val="hy-AM"/>
        </w:rPr>
        <w:t>1. Նոզոլոգիաների խումբ` ըստ հիվանդությունների և առողջության հետ կապված խնդիրների վիճակագրական 1</w:t>
      </w:r>
      <w:r w:rsidR="000D295F">
        <w:rPr>
          <w:rFonts w:ascii="GHEA Grapalat" w:hAnsi="GHEA Grapalat"/>
          <w:sz w:val="24"/>
          <w:szCs w:val="24"/>
          <w:lang w:val="hy-AM"/>
        </w:rPr>
        <w:t>1</w:t>
      </w:r>
      <w:r w:rsidRPr="00E96347">
        <w:rPr>
          <w:rFonts w:ascii="GHEA Grapalat" w:hAnsi="GHEA Grapalat"/>
          <w:sz w:val="24"/>
          <w:szCs w:val="24"/>
          <w:lang w:val="hy-AM"/>
        </w:rPr>
        <w:t>–րդ վերանայման դասակարգչի</w:t>
      </w:r>
      <w:r w:rsidRPr="00E9634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W w:w="13467" w:type="dxa"/>
        <w:tblInd w:w="108" w:type="dxa"/>
        <w:tblLook w:val="04A0" w:firstRow="1" w:lastRow="0" w:firstColumn="1" w:lastColumn="0" w:noHBand="0" w:noVBand="1"/>
      </w:tblPr>
      <w:tblGrid>
        <w:gridCol w:w="1950"/>
        <w:gridCol w:w="11517"/>
      </w:tblGrid>
      <w:tr w:rsidR="008F7F63" w:rsidRPr="00585BAC" w14:paraId="18DA7BC1" w14:textId="77777777" w:rsidTr="00EB0F28">
        <w:trPr>
          <w:trHeight w:val="332"/>
        </w:trPr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0BC5E9" w14:textId="77777777" w:rsidR="008F7F63" w:rsidRPr="00585BAC" w:rsidRDefault="008F7F63" w:rsidP="00EB0F2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5BAC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Կոդը</w:t>
            </w:r>
          </w:p>
        </w:tc>
        <w:tc>
          <w:tcPr>
            <w:tcW w:w="1151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B4818B" w14:textId="77777777" w:rsidR="008F7F63" w:rsidRPr="00585BAC" w:rsidRDefault="008F7F63" w:rsidP="00EB0F28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585BAC">
              <w:rPr>
                <w:rFonts w:ascii="GHEA Grapalat" w:eastAsia="Times New Roman" w:hAnsi="GHEA Grapalat" w:cs="Calibri"/>
                <w:b/>
                <w:bCs/>
                <w:color w:val="000000"/>
                <w:lang w:eastAsia="ru-RU"/>
              </w:rPr>
              <w:t xml:space="preserve">                                                                     </w:t>
            </w:r>
            <w:r w:rsidRPr="00585BAC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Անվանում</w:t>
            </w:r>
          </w:p>
        </w:tc>
      </w:tr>
      <w:tr w:rsidR="008F7F63" w:rsidRPr="00585BAC" w14:paraId="412DFA1B" w14:textId="77777777" w:rsidTr="00EB0F28">
        <w:trPr>
          <w:trHeight w:val="27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4ED1" w14:textId="77777777" w:rsidR="008F7F63" w:rsidRPr="00BD1D74" w:rsidRDefault="008F7F63" w:rsidP="00EB0F28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1B14</w:t>
            </w:r>
          </w:p>
        </w:tc>
        <w:tc>
          <w:tcPr>
            <w:tcW w:w="1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6824" w14:textId="69E5AA24" w:rsidR="008F7F63" w:rsidRPr="00BD1D74" w:rsidRDefault="008F7F63" w:rsidP="00EB0F28">
            <w:pPr>
              <w:spacing w:after="0" w:line="240" w:lineRule="auto"/>
              <w:ind w:right="1008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Գաղտնի տուբերկուլոզային վարակ</w:t>
            </w:r>
          </w:p>
        </w:tc>
      </w:tr>
    </w:tbl>
    <w:p w14:paraId="6C1995A5" w14:textId="196BB639" w:rsidR="008614A1" w:rsidRDefault="00F90016" w:rsidP="00F900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35321">
        <w:rPr>
          <w:rFonts w:ascii="GHEA Grapalat" w:hAnsi="GHEA Grapalat"/>
          <w:sz w:val="24"/>
          <w:szCs w:val="24"/>
          <w:lang w:val="hy-AM"/>
        </w:rPr>
        <w:t>2</w:t>
      </w:r>
      <w:r w:rsidRPr="0043532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35321">
        <w:rPr>
          <w:rFonts w:ascii="GHEA Grapalat" w:hAnsi="GHEA Grapalat"/>
          <w:sz w:val="24"/>
          <w:szCs w:val="24"/>
          <w:lang w:val="hy-AM"/>
        </w:rPr>
        <w:t xml:space="preserve"> </w:t>
      </w:r>
      <w:r w:rsidR="008614A1" w:rsidRPr="008614A1">
        <w:rPr>
          <w:rFonts w:ascii="GHEA Grapalat" w:hAnsi="GHEA Grapalat"/>
          <w:sz w:val="24"/>
          <w:szCs w:val="24"/>
          <w:lang w:val="hy-AM"/>
        </w:rPr>
        <w:t xml:space="preserve">Տուբերկուլոզի </w:t>
      </w:r>
      <w:r w:rsidR="004609F1" w:rsidRPr="004609F1">
        <w:rPr>
          <w:rFonts w:ascii="GHEA Grapalat" w:hAnsi="GHEA Grapalat"/>
          <w:sz w:val="24"/>
          <w:szCs w:val="24"/>
        </w:rPr>
        <w:t>(</w:t>
      </w:r>
      <w:r w:rsidR="004609F1">
        <w:rPr>
          <w:rFonts w:ascii="GHEA Grapalat" w:hAnsi="GHEA Grapalat"/>
          <w:sz w:val="24"/>
          <w:szCs w:val="24"/>
          <w:lang w:val="hy-AM"/>
        </w:rPr>
        <w:t>այսուհետ` ՏԲ</w:t>
      </w:r>
      <w:r w:rsidR="004609F1" w:rsidRPr="004609F1">
        <w:rPr>
          <w:rFonts w:ascii="GHEA Grapalat" w:hAnsi="GHEA Grapalat"/>
          <w:sz w:val="24"/>
          <w:szCs w:val="24"/>
        </w:rPr>
        <w:t xml:space="preserve">) </w:t>
      </w:r>
      <w:r w:rsidR="008614A1" w:rsidRPr="008614A1">
        <w:rPr>
          <w:rFonts w:ascii="GHEA Grapalat" w:hAnsi="GHEA Grapalat"/>
          <w:sz w:val="24"/>
          <w:szCs w:val="24"/>
          <w:lang w:val="hy-AM"/>
        </w:rPr>
        <w:t xml:space="preserve">կանխարգելիչ բուժումը սահմանվում է որպես ակտիվ </w:t>
      </w:r>
      <w:r w:rsidR="004609F1">
        <w:rPr>
          <w:rFonts w:ascii="GHEA Grapalat" w:hAnsi="GHEA Grapalat"/>
          <w:sz w:val="24"/>
          <w:szCs w:val="24"/>
          <w:lang w:val="hy-AM"/>
        </w:rPr>
        <w:t>ՏԲ-</w:t>
      </w:r>
      <w:r w:rsidR="008614A1" w:rsidRPr="008614A1">
        <w:rPr>
          <w:rFonts w:ascii="GHEA Grapalat" w:hAnsi="GHEA Grapalat"/>
          <w:sz w:val="24"/>
          <w:szCs w:val="24"/>
          <w:lang w:val="hy-AM"/>
        </w:rPr>
        <w:t xml:space="preserve">ի զարգացումը  կանխելու միջոց   </w:t>
      </w:r>
      <w:r w:rsidR="004609F1">
        <w:rPr>
          <w:rFonts w:ascii="GHEA Grapalat" w:hAnsi="GHEA Grapalat"/>
          <w:sz w:val="24"/>
          <w:szCs w:val="24"/>
          <w:lang w:val="hy-AM"/>
        </w:rPr>
        <w:t>ՏԲ-</w:t>
      </w:r>
      <w:r w:rsidR="008614A1" w:rsidRPr="008614A1">
        <w:rPr>
          <w:rFonts w:ascii="GHEA Grapalat" w:hAnsi="GHEA Grapalat"/>
          <w:sz w:val="24"/>
          <w:szCs w:val="24"/>
          <w:lang w:val="hy-AM"/>
        </w:rPr>
        <w:t>ով պացիենտի (ինդեքս դեպքի) ընտանեկան օջախի կամ սերտ կոնտակտավոր նորածինների և երեխաների շրջանում</w:t>
      </w:r>
      <w:r w:rsidR="008614A1">
        <w:rPr>
          <w:rFonts w:ascii="GHEA Grapalat" w:hAnsi="GHEA Grapalat"/>
          <w:sz w:val="24"/>
          <w:szCs w:val="24"/>
          <w:lang w:val="hy-AM"/>
        </w:rPr>
        <w:t>:</w:t>
      </w:r>
    </w:p>
    <w:p w14:paraId="26A535F1" w14:textId="5BEA3263" w:rsidR="008614A1" w:rsidRDefault="008614A1" w:rsidP="00F90016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8614A1">
        <w:rPr>
          <w:rFonts w:ascii="GHEA Grapalat" w:hAnsi="GHEA Grapalat"/>
          <w:sz w:val="24"/>
          <w:szCs w:val="24"/>
          <w:lang w:val="hy-AM"/>
        </w:rPr>
        <w:t>Կանխարգելիչ բուժումը ներառում է միջամտությունների ամբողջական փաթեթ՝ բացահայտել և թեստավորել այն անձանց, ովքեր պետք է թեստավորվեն, որից հետո գնահատել և արդյունավետ ու անվտանգ  բուժում տրամադրել այնպես, որ բուժում սկսողների մեծամասնությունն այն ավարտի առանց  կողմնակի երևույթների կամ  դրանց նվազագույն ռիսկով, և գործընթացի մշտադիտարկումով ու գնահատումով:</w:t>
      </w:r>
    </w:p>
    <w:p w14:paraId="613A7518" w14:textId="36A31A7F" w:rsidR="00F90016" w:rsidRDefault="008614A1" w:rsidP="004609F1">
      <w:pPr>
        <w:spacing w:after="0" w:line="24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4. </w:t>
      </w:r>
      <w:r w:rsidR="00F90016" w:rsidRPr="00435321">
        <w:rPr>
          <w:rFonts w:ascii="GHEA Grapalat" w:hAnsi="GHEA Grapalat"/>
          <w:sz w:val="24"/>
          <w:szCs w:val="24"/>
          <w:lang w:val="hy-AM"/>
        </w:rPr>
        <w:t>Նոզոլոգիաների խումբը կիրառելի է՝ ըստ սույն հավելվածով սահմանված Ձև 1–ի</w:t>
      </w:r>
      <w:r w:rsidR="00F90016" w:rsidRPr="00435321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14:paraId="6D75633E" w14:textId="4BBB084E" w:rsidR="006D143D" w:rsidRPr="00B50AC5" w:rsidRDefault="004165C7" w:rsidP="00AB75D7">
      <w:pPr>
        <w:jc w:val="right"/>
        <w:rPr>
          <w:rFonts w:ascii="GHEA Grapalat" w:hAnsi="GHEA Grapalat"/>
          <w:b/>
          <w:lang w:val="hy-AM"/>
        </w:rPr>
      </w:pPr>
      <w:r w:rsidRPr="00B50AC5">
        <w:rPr>
          <w:rFonts w:ascii="GHEA Grapalat" w:hAnsi="GHEA Grapalat"/>
          <w:b/>
          <w:lang w:val="hy-AM"/>
        </w:rPr>
        <w:t>Ձև 1</w:t>
      </w:r>
    </w:p>
    <w:tbl>
      <w:tblPr>
        <w:tblW w:w="13490" w:type="dxa"/>
        <w:tblInd w:w="113" w:type="dxa"/>
        <w:tblLook w:val="04A0" w:firstRow="1" w:lastRow="0" w:firstColumn="1" w:lastColumn="0" w:noHBand="0" w:noVBand="1"/>
      </w:tblPr>
      <w:tblGrid>
        <w:gridCol w:w="1158"/>
        <w:gridCol w:w="5528"/>
        <w:gridCol w:w="6804"/>
      </w:tblGrid>
      <w:tr w:rsidR="008614A1" w:rsidRPr="00B23BF8" w14:paraId="3D0B9CA1" w14:textId="7F0EE0CB" w:rsidTr="008614A1">
        <w:trPr>
          <w:trHeight w:val="332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E8DD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2DDF" w14:textId="35EFF579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Տարիքային խումբ (նորածին, երեխա, դեռահաս, մեծահասակ) 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90AA" w14:textId="0D24254C" w:rsidR="008614A1" w:rsidRPr="00B23BF8" w:rsidRDefault="008614A1" w:rsidP="00B23BF8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Cs/>
                <w:color w:val="000000"/>
                <w:lang w:eastAsia="ru-RU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  <w:t>Երեխա այդ թվում</w:t>
            </w:r>
            <w:r>
              <w:rPr>
                <w:rFonts w:ascii="GHEA Grapalat" w:eastAsia="Times New Roman" w:hAnsi="GHEA Grapalat" w:cs="Calibri"/>
                <w:bCs/>
                <w:color w:val="000000"/>
                <w:lang w:eastAsia="ru-RU"/>
              </w:rPr>
              <w:t xml:space="preserve"> դեռահաս</w:t>
            </w:r>
            <w:r w:rsidRPr="00B50AC5">
              <w:rPr>
                <w:rFonts w:ascii="GHEA Grapalat" w:eastAsia="Times New Roman" w:hAnsi="GHEA Grapalat" w:cs="Calibri"/>
                <w:bCs/>
                <w:color w:val="000000"/>
                <w:lang w:val="hy-AM" w:eastAsia="ru-RU"/>
              </w:rPr>
              <w:t xml:space="preserve"> </w:t>
            </w:r>
          </w:p>
        </w:tc>
      </w:tr>
      <w:tr w:rsidR="008614A1" w:rsidRPr="00B50AC5" w14:paraId="6F98D2BB" w14:textId="46ED3D5F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9E21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A249" w14:textId="57FA522E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 xml:space="preserve">Սեռ (արական, իգական) 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27D2B" w14:textId="7DB93DC6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eastAsia="ru-RU"/>
              </w:rPr>
              <w:t>Արական/իգական</w:t>
            </w:r>
          </w:p>
        </w:tc>
      </w:tr>
      <w:tr w:rsidR="008614A1" w:rsidRPr="00B50AC5" w14:paraId="32EDACF7" w14:textId="517ABD44" w:rsidTr="008614A1">
        <w:trPr>
          <w:trHeight w:val="233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FD19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3BC1" w14:textId="72D235A5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 xml:space="preserve">Բարդություններ (առանց բարդությունների (ԱԲ), բարդություններով (Բ)) 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7E367" w14:textId="46A68C8F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hAnsi="GHEA Grapalat"/>
              </w:rPr>
              <w:t>Ա/Բ</w:t>
            </w:r>
          </w:p>
          <w:p w14:paraId="2CD643A4" w14:textId="14D9E4B6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  <w:tr w:rsidR="008614A1" w:rsidRPr="00855FC0" w14:paraId="76289A39" w14:textId="7725F5B3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EF3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15705" w14:textId="74DA48D3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 xml:space="preserve">Հիվանդության փուլը (նկարագրել) 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44C1C" w14:textId="7BDF9C81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50AC5">
              <w:rPr>
                <w:rFonts w:ascii="GHEA Grapalat" w:hAnsi="GHEA Grapalat"/>
                <w:lang w:val="hy-AM"/>
              </w:rPr>
              <w:t>Առողջ ընտանեկան օջախի կամ սերտ կոնտակտավոր (Բացառել ՏԲ հիվանդությունը)</w:t>
            </w:r>
          </w:p>
        </w:tc>
      </w:tr>
      <w:tr w:rsidR="008614A1" w:rsidRPr="00855FC0" w14:paraId="27DFF618" w14:textId="4000A802" w:rsidTr="008614A1">
        <w:trPr>
          <w:trHeight w:val="664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6AC7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6490" w14:textId="34CC9A7D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Բժշկական օգնության և սպասարկման պայմանները /բժշկական կազմակերպությունից դուրս, արտահիվանդանոցային պայմաններում, ցերեկային ստացիոնարի պայմաններում, հիվանդանոցային պայմաններում/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6B927F" w14:textId="303205DA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Արտահիվանդանոցային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պայմաններում</w:t>
            </w: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(հնարվոր է որոշ դեպքերում հիվանդանոցային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պայմաններում</w:t>
            </w: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հետազոտությ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</w:t>
            </w: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ն</w:t>
            </w:r>
            <w:r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 xml:space="preserve"> իրականացում</w:t>
            </w: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)</w:t>
            </w:r>
          </w:p>
        </w:tc>
      </w:tr>
      <w:tr w:rsidR="008614A1" w:rsidRPr="00B50AC5" w14:paraId="023472DC" w14:textId="765E6AC0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FAC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B608" w14:textId="09C02512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Բժշկական օգնության և սպասարկման ծառայությունների մատուցման ձևը /պլանային/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843D68" w14:textId="2EEED134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eastAsia="ru-RU"/>
              </w:rPr>
              <w:t>Պլանային</w:t>
            </w:r>
          </w:p>
        </w:tc>
      </w:tr>
      <w:tr w:rsidR="008614A1" w:rsidRPr="00B50AC5" w14:paraId="393F9F84" w14:textId="66D6EF32" w:rsidTr="008614A1">
        <w:trPr>
          <w:trHeight w:val="311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C9BB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1E9D" w14:textId="55DDD2CC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Կիրառման շրջանակը (նշել մասնագետների շրջանակը)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E4BD2" w14:textId="6F7A57A4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B50AC5">
              <w:rPr>
                <w:rFonts w:ascii="GHEA Grapalat" w:hAnsi="GHEA Grapalat"/>
              </w:rPr>
              <w:t>Ֆթիզիատրներ, մանկաբույժներ, ընտանեկան բժիշկներ</w:t>
            </w:r>
          </w:p>
        </w:tc>
      </w:tr>
      <w:tr w:rsidR="008614A1" w:rsidRPr="00855FC0" w14:paraId="413C002D" w14:textId="38954A6B" w:rsidTr="008614A1">
        <w:trPr>
          <w:trHeight w:val="325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2CD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57D4" w14:textId="4C03DACF" w:rsidR="008614A1" w:rsidRPr="00B50AC5" w:rsidRDefault="008614A1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Գանգատներ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147CA" w14:textId="5C4A097A" w:rsidR="008614A1" w:rsidRPr="00B50AC5" w:rsidRDefault="004609F1" w:rsidP="00AB75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ՏԲ-</w:t>
            </w:r>
            <w:r w:rsidR="008614A1" w:rsidRPr="00B50AC5">
              <w:rPr>
                <w:rFonts w:ascii="GHEA Grapalat" w:hAnsi="GHEA Grapalat"/>
                <w:lang w:val="hy-AM"/>
              </w:rPr>
              <w:t>ին բնորոշ գանգատներ չի ներկայացնում</w:t>
            </w:r>
          </w:p>
        </w:tc>
      </w:tr>
      <w:tr w:rsidR="008614A1" w:rsidRPr="00855FC0" w14:paraId="6AA8221F" w14:textId="18A0F094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B87F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987D" w14:textId="27EE56E1" w:rsidR="008614A1" w:rsidRPr="00B50AC5" w:rsidRDefault="008614A1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Անամնեզ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ABFD9" w14:textId="6EDD59B7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50AC5">
              <w:rPr>
                <w:rFonts w:ascii="GHEA Grapalat" w:hAnsi="GHEA Grapalat"/>
                <w:lang w:val="hy-AM"/>
              </w:rPr>
              <w:t xml:space="preserve">Ընտանեկան օջախի (անձ, ով մեկ կամ մի քանի գիշեր կամ օր շփվել է  ակտիվ ՏԲ պացիենտի (ինդեքս դեպքի) հետ նույն փակ բնակելի տարածքում՝ մինչև  ինդեքս  դեպքի  ընթացիկ բուժումը սկսելը՝ 3 ամիսների ընթացքում) կամ սերտ (անձ, ով շաբաթական 8 ժամ կամ ավելին շփվել է  ակտիվ ՏԲ պացիենտի (ինդեքս դեպքի) հետ նույն փակ տարածքում՝ մինչև  ինդեքս  դեպքի  ընթացիկ բուժումը սկսելը՝ 3 ամիսների ընթացքում) կոնտակտավոր մանրէաբանորեն հաստատված  </w:t>
            </w:r>
            <w:r>
              <w:rPr>
                <w:rFonts w:ascii="GHEA Grapalat" w:hAnsi="GHEA Grapalat"/>
                <w:lang w:val="hy-AM"/>
              </w:rPr>
              <w:t>դեղ</w:t>
            </w:r>
            <w:r w:rsidRPr="00B50AC5">
              <w:rPr>
                <w:rFonts w:ascii="GHEA Grapalat" w:hAnsi="GHEA Grapalat"/>
                <w:lang w:val="hy-AM"/>
              </w:rPr>
              <w:t xml:space="preserve">ազգայուն թոքային ՏԲ </w:t>
            </w:r>
            <w:r>
              <w:rPr>
                <w:rFonts w:ascii="GHEA Grapalat" w:hAnsi="GHEA Grapalat"/>
                <w:lang w:val="hy-AM"/>
              </w:rPr>
              <w:t>պացի</w:t>
            </w:r>
            <w:r w:rsidRPr="00A26F8B">
              <w:rPr>
                <w:rFonts w:ascii="GHEA Grapalat" w:hAnsi="GHEA Grapalat"/>
                <w:lang w:val="hy-AM"/>
              </w:rPr>
              <w:t xml:space="preserve">ենտի </w:t>
            </w:r>
            <w:r w:rsidRPr="00B50AC5">
              <w:rPr>
                <w:rFonts w:ascii="GHEA Grapalat" w:hAnsi="GHEA Grapalat"/>
                <w:lang w:val="hy-AM"/>
              </w:rPr>
              <w:t>(ինդեքս դեպքի</w:t>
            </w:r>
            <w:r>
              <w:rPr>
                <w:rFonts w:ascii="GHEA Grapalat" w:hAnsi="GHEA Grapalat"/>
                <w:lang w:val="hy-AM"/>
              </w:rPr>
              <w:t>)</w:t>
            </w:r>
            <w:r w:rsidRPr="00B50AC5">
              <w:rPr>
                <w:rFonts w:ascii="GHEA Grapalat" w:hAnsi="GHEA Grapalat"/>
                <w:lang w:val="hy-AM"/>
              </w:rPr>
              <w:t xml:space="preserve"> հետ: </w:t>
            </w:r>
          </w:p>
          <w:p w14:paraId="5DE9BA97" w14:textId="6AB89B9D" w:rsidR="008614A1" w:rsidRPr="00B50AC5" w:rsidRDefault="008614A1" w:rsidP="004609F1">
            <w:pPr>
              <w:tabs>
                <w:tab w:val="left" w:pos="1080"/>
              </w:tabs>
              <w:jc w:val="both"/>
              <w:rPr>
                <w:rFonts w:ascii="GHEA Grapalat" w:hAnsi="GHEA Grapalat" w:cs="Sylfaen"/>
                <w:b/>
                <w:lang w:val="hy-AM"/>
              </w:rPr>
            </w:pPr>
            <w:r w:rsidRPr="00B50AC5">
              <w:rPr>
                <w:rFonts w:ascii="GHEA Grapalat" w:eastAsia="Times New Roman" w:hAnsi="GHEA Grapalat" w:cs="Calibri"/>
                <w:lang w:val="hy-AM" w:eastAsia="ru-RU"/>
              </w:rPr>
              <w:t xml:space="preserve">Պետք է ճշտել ԲՑԺ պատվաստում ստացած լինելու հանգամանքը, 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>ալերգիա կամ հայտնի գերզգայունություն հակատուբերկուլոզային դեղերի նկատմամբ (Ի</w:t>
            </w:r>
            <w:r>
              <w:rPr>
                <w:rFonts w:ascii="GHEA Grapalat" w:hAnsi="GHEA Grapalat" w:cs="Sylfaen"/>
                <w:bCs/>
                <w:lang w:val="hy-AM"/>
              </w:rPr>
              <w:t>զ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>ոնիազիդ, Ռիֆամպիցին, Ռիֆաբուտին կամ Ռիֆապենտին);</w:t>
            </w:r>
            <w:r w:rsidRPr="00B50AC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>ՄԻԱՎ-ի կարգավիճակ</w:t>
            </w:r>
            <w:r>
              <w:rPr>
                <w:rFonts w:ascii="GHEA Grapalat" w:hAnsi="GHEA Grapalat" w:cs="Sylfaen"/>
                <w:bCs/>
                <w:lang w:val="hy-AM"/>
              </w:rPr>
              <w:t>ը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 xml:space="preserve"> և ՀՌՎ բուժման  ռեժիմ</w:t>
            </w:r>
            <w:r>
              <w:rPr>
                <w:rFonts w:ascii="GHEA Grapalat" w:hAnsi="GHEA Grapalat" w:cs="Sylfaen"/>
                <w:bCs/>
                <w:lang w:val="hy-AM"/>
              </w:rPr>
              <w:t>ը,</w:t>
            </w:r>
            <w:r w:rsidR="004609F1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 xml:space="preserve">ուղեկցող  </w:t>
            </w:r>
            <w:r>
              <w:rPr>
                <w:rFonts w:ascii="GHEA Grapalat" w:hAnsi="GHEA Grapalat" w:cs="Sylfaen"/>
                <w:bCs/>
                <w:lang w:val="hy-AM"/>
              </w:rPr>
              <w:t>հիվանդությունները  `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 xml:space="preserve">գնահատել ուղեկցող  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հիվանդությունների 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 xml:space="preserve"> առկայությունը (օրինակ՝ թերսնուցում, շաքարային դիաբետ, վիրուսային հեպատիտ) և գրանցել ընդունվող դեղերը</w:t>
            </w:r>
            <w:r>
              <w:rPr>
                <w:rFonts w:ascii="GHEA Grapalat" w:hAnsi="GHEA Grapalat" w:cs="Sylfaen"/>
                <w:bCs/>
                <w:lang w:val="hy-AM"/>
              </w:rPr>
              <w:t xml:space="preserve">, 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>ՏԲ  կանխարգելիչ բուժման հնարավոր հակացուցումները, ինչպիսիք են ակտիվ հեպատիտը (սուր կամ քրոնիկ) կամ տրանսամինազների մակարդակի առկա բարձրացումը</w:t>
            </w:r>
            <w:r>
              <w:rPr>
                <w:rFonts w:ascii="GHEA Grapalat" w:hAnsi="GHEA Grapalat" w:cs="Sylfaen"/>
                <w:bCs/>
                <w:lang w:val="hy-AM"/>
              </w:rPr>
              <w:t>, գրանցել ն</w:t>
            </w:r>
            <w:r w:rsidRPr="00B50AC5">
              <w:rPr>
                <w:rFonts w:ascii="GHEA Grapalat" w:hAnsi="GHEA Grapalat" w:cs="Sylfaen"/>
                <w:bCs/>
                <w:lang w:val="hy-AM"/>
              </w:rPr>
              <w:t>ախկինում ՏԲ բուժման պատմությունը:</w:t>
            </w:r>
          </w:p>
        </w:tc>
      </w:tr>
      <w:tr w:rsidR="008614A1" w:rsidRPr="00855FC0" w14:paraId="33582512" w14:textId="5B7DABA7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65E7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F559" w14:textId="5ABDDA45" w:rsidR="008614A1" w:rsidRPr="00B50AC5" w:rsidRDefault="008614A1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 xml:space="preserve">Զննման արդյունք/Ցուցում 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41CAF2" w14:textId="7E9D419A" w:rsidR="008614A1" w:rsidRPr="00B50AC5" w:rsidRDefault="008614A1" w:rsidP="00AB75D7">
            <w:pPr>
              <w:spacing w:before="240"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50AC5">
              <w:rPr>
                <w:rFonts w:ascii="GHEA Grapalat" w:hAnsi="GHEA Grapalat"/>
                <w:lang w:val="hy-AM"/>
              </w:rPr>
              <w:t>ՏԲ-ին բնորոշ ախտանիշների բացակայություն</w:t>
            </w:r>
            <w:r>
              <w:rPr>
                <w:rFonts w:ascii="GHEA Grapalat" w:hAnsi="GHEA Grapalat"/>
                <w:lang w:val="hy-AM"/>
              </w:rPr>
              <w:t>,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ճառագայթաբանական</w:t>
            </w:r>
            <w:r w:rsidRPr="00B50AC5">
              <w:rPr>
                <w:rFonts w:ascii="GHEA Grapalat" w:hAnsi="GHEA Grapalat"/>
                <w:lang w:val="hy-AM"/>
              </w:rPr>
              <w:t xml:space="preserve"> շեղումների բացակայություն (անհրաժեշտության դեպքում նաև ՀՇ հետազոտության փոփոխությունների բացակայություն): Որովայնի խոռոչի օրգանների ուլտրաձայնային հետազոտություն (</w:t>
            </w:r>
            <w:r w:rsidR="004609F1">
              <w:rPr>
                <w:rFonts w:ascii="GHEA Grapalat" w:hAnsi="GHEA Grapalat"/>
                <w:lang w:val="hy-AM"/>
              </w:rPr>
              <w:t>ՏԲ-</w:t>
            </w:r>
            <w:r w:rsidRPr="00B50AC5">
              <w:rPr>
                <w:rFonts w:ascii="GHEA Grapalat" w:hAnsi="GHEA Grapalat"/>
                <w:lang w:val="hy-AM"/>
              </w:rPr>
              <w:t xml:space="preserve">ին բնորոշ փոփոխությունների բացակայություն): </w:t>
            </w:r>
            <w:r w:rsidR="004609F1">
              <w:rPr>
                <w:rFonts w:ascii="GHEA Grapalat" w:hAnsi="GHEA Grapalat"/>
                <w:lang w:val="hy-AM"/>
              </w:rPr>
              <w:t>ՏԲ-</w:t>
            </w:r>
            <w:r w:rsidRPr="00B50AC5">
              <w:rPr>
                <w:rFonts w:ascii="GHEA Grapalat" w:hAnsi="GHEA Grapalat"/>
                <w:lang w:val="hy-AM"/>
              </w:rPr>
              <w:t>ի  մաշկայի փորձի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576C1">
              <w:rPr>
                <w:rFonts w:ascii="GHEA Grapalat" w:hAnsi="GHEA Grapalat"/>
                <w:lang w:val="hy-AM"/>
              </w:rPr>
              <w:t>(ՏՄՓ)</w:t>
            </w:r>
            <w:r w:rsidRPr="00B50AC5">
              <w:rPr>
                <w:rFonts w:ascii="GHEA Grapalat" w:hAnsi="GHEA Grapalat"/>
                <w:lang w:val="hy-AM"/>
              </w:rPr>
              <w:t xml:space="preserve"> կամ </w:t>
            </w:r>
            <w:r w:rsidRPr="00E576C1">
              <w:rPr>
                <w:rFonts w:ascii="GHEA Grapalat" w:hAnsi="GHEA Grapalat"/>
                <w:lang w:val="hy-AM"/>
              </w:rPr>
              <w:t xml:space="preserve">գամմա-ինտերֆերոնային արտազատման </w:t>
            </w:r>
            <w:r>
              <w:rPr>
                <w:rFonts w:ascii="GHEA Grapalat" w:hAnsi="GHEA Grapalat"/>
                <w:lang w:val="hy-AM"/>
              </w:rPr>
              <w:t>փոր</w:t>
            </w:r>
            <w:r w:rsidRPr="00686544">
              <w:rPr>
                <w:rFonts w:ascii="GHEA Grapalat" w:hAnsi="GHEA Grapalat"/>
                <w:lang w:val="hy-AM"/>
              </w:rPr>
              <w:t>ձի</w:t>
            </w:r>
            <w:r w:rsidRPr="00E576C1">
              <w:rPr>
                <w:rFonts w:ascii="GHEA Grapalat" w:hAnsi="GHEA Grapalat"/>
                <w:lang w:val="hy-AM"/>
              </w:rPr>
              <w:t xml:space="preserve"> </w:t>
            </w:r>
            <w:r w:rsidRPr="00686544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ԳԻԱ</w:t>
            </w:r>
            <w:r w:rsidRPr="00686544">
              <w:rPr>
                <w:rFonts w:ascii="GHEA Grapalat" w:hAnsi="GHEA Grapalat"/>
                <w:lang w:val="hy-AM"/>
              </w:rPr>
              <w:t>Փ)</w:t>
            </w:r>
            <w:r w:rsidRPr="00B50AC5">
              <w:rPr>
                <w:rFonts w:ascii="GHEA Grapalat" w:hAnsi="GHEA Grapalat"/>
                <w:lang w:val="hy-AM"/>
              </w:rPr>
              <w:t xml:space="preserve"> բացասական կամ դրական տվյալներ:</w:t>
            </w:r>
          </w:p>
          <w:p w14:paraId="4A9E3B5C" w14:textId="54024BE5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50AC5">
              <w:rPr>
                <w:rFonts w:ascii="GHEA Grapalat" w:hAnsi="GHEA Grapalat"/>
                <w:lang w:val="hy-AM"/>
              </w:rPr>
              <w:t xml:space="preserve">Մինչև հինգ տարեկան </w:t>
            </w:r>
            <w:r w:rsidRPr="00B50AC5">
              <w:rPr>
                <w:rFonts w:ascii="GHEA Grapalat" w:hAnsi="GHEA Grapalat" w:cs="Sylfaen"/>
                <w:lang w:val="hy-AM"/>
              </w:rPr>
              <w:t>երեխաները</w:t>
            </w:r>
            <w:r w:rsidRPr="00B50AC5">
              <w:rPr>
                <w:rFonts w:ascii="GHEA Grapalat" w:hAnsi="GHEA Grapalat"/>
                <w:lang w:val="hy-AM"/>
              </w:rPr>
              <w:t xml:space="preserve">, որոնք ունեցել են սերտ կամ տնային կոնտակտ մանրէաբանորեն հաստատված </w:t>
            </w:r>
            <w:r>
              <w:rPr>
                <w:rFonts w:ascii="GHEA Grapalat" w:hAnsi="GHEA Grapalat"/>
                <w:lang w:val="hy-AM"/>
              </w:rPr>
              <w:t>դեղ</w:t>
            </w:r>
            <w:r w:rsidRPr="00B50AC5">
              <w:rPr>
                <w:rFonts w:ascii="GHEA Grapalat" w:hAnsi="GHEA Grapalat"/>
                <w:lang w:val="hy-AM"/>
              </w:rPr>
              <w:t xml:space="preserve">ազգայուն թոքային ՏԲ դեպքի հետ և </w:t>
            </w:r>
            <w:r w:rsidRPr="00B50AC5">
              <w:rPr>
                <w:rFonts w:ascii="GHEA Grapalat" w:hAnsi="GHEA Grapalat" w:cs="Sylfaen"/>
                <w:lang w:val="hy-AM"/>
              </w:rPr>
              <w:t>որոնց մոտ բացառված է ակտիվ</w:t>
            </w:r>
            <w:r w:rsidRPr="00B50AC5">
              <w:rPr>
                <w:rFonts w:ascii="GHEA Grapalat" w:hAnsi="GHEA Grapalat"/>
                <w:lang w:val="hy-AM"/>
              </w:rPr>
              <w:t xml:space="preserve"> ՏԲ-</w:t>
            </w:r>
            <w:r w:rsidRPr="00B50AC5">
              <w:rPr>
                <w:rFonts w:ascii="GHEA Grapalat" w:hAnsi="GHEA Grapalat" w:cs="Sylfaen"/>
                <w:lang w:val="hy-AM"/>
              </w:rPr>
              <w:t>ի առկայությունը,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lang w:val="hy-AM"/>
              </w:rPr>
              <w:t>պետք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lang w:val="hy-AM"/>
              </w:rPr>
              <w:t>է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lang w:val="hy-AM"/>
              </w:rPr>
              <w:t>ստանան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 w:rsidR="004609F1">
              <w:rPr>
                <w:rFonts w:ascii="GHEA Grapalat" w:hAnsi="GHEA Grapalat"/>
                <w:lang w:val="hy-AM"/>
              </w:rPr>
              <w:t>ՏԲ-</w:t>
            </w:r>
            <w:r w:rsidRPr="00E576C1">
              <w:rPr>
                <w:rFonts w:ascii="GHEA Grapalat" w:hAnsi="GHEA Grapalat"/>
                <w:lang w:val="hy-AM"/>
              </w:rPr>
              <w:t>ի կանխարգելիչ բուժում</w:t>
            </w:r>
            <w:r w:rsidRPr="00B50AC5">
              <w:rPr>
                <w:rFonts w:ascii="GHEA Grapalat" w:hAnsi="GHEA Grapalat" w:cs="Sylfaen"/>
                <w:lang w:val="hy-AM"/>
              </w:rPr>
              <w:t>՝</w:t>
            </w:r>
            <w:r w:rsidRPr="00B50AC5">
              <w:rPr>
                <w:rFonts w:ascii="GHEA Grapalat" w:hAnsi="GHEA Grapalat"/>
                <w:lang w:val="hy-AM"/>
              </w:rPr>
              <w:t xml:space="preserve"> </w:t>
            </w:r>
            <w:r w:rsidRPr="00B50AC5">
              <w:rPr>
                <w:rFonts w:ascii="GHEA Grapalat" w:hAnsi="GHEA Grapalat" w:cs="Sylfaen"/>
                <w:lang w:val="hy-AM"/>
              </w:rPr>
              <w:t>անկախ</w:t>
            </w:r>
            <w:r w:rsidRPr="00B50AC5">
              <w:rPr>
                <w:rFonts w:ascii="GHEA Grapalat" w:hAnsi="GHEA Grapalat"/>
                <w:lang w:val="hy-AM"/>
              </w:rPr>
              <w:t xml:space="preserve"> ՏՄԹ-ի կամ </w:t>
            </w:r>
            <w:r>
              <w:rPr>
                <w:rFonts w:ascii="GHEA Grapalat" w:hAnsi="GHEA Grapalat"/>
                <w:lang w:val="hy-AM"/>
              </w:rPr>
              <w:t>ԳԻԱ</w:t>
            </w:r>
            <w:r w:rsidRPr="00686544">
              <w:rPr>
                <w:rFonts w:ascii="GHEA Grapalat" w:hAnsi="GHEA Grapalat"/>
                <w:lang w:val="hy-AM"/>
              </w:rPr>
              <w:t>Փ-ի</w:t>
            </w:r>
            <w:r w:rsidRPr="00B50AC5">
              <w:rPr>
                <w:rFonts w:ascii="GHEA Grapalat" w:hAnsi="GHEA Grapalat"/>
                <w:lang w:val="hy-AM"/>
              </w:rPr>
              <w:t xml:space="preserve"> արդյունքից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: Դրական արդյունք ունեցող երեխաները կարիք չունեն կրկնակի </w:t>
            </w:r>
            <w:r>
              <w:rPr>
                <w:rFonts w:ascii="GHEA Grapalat" w:hAnsi="GHEA Grapalat" w:cs="Sylfaen"/>
                <w:lang w:val="hy-AM"/>
              </w:rPr>
              <w:t>ՏՄ</w:t>
            </w:r>
            <w:r w:rsidRPr="00E576C1">
              <w:rPr>
                <w:rFonts w:ascii="GHEA Grapalat" w:hAnsi="GHEA Grapalat" w:cs="Sylfaen"/>
                <w:lang w:val="hy-AM"/>
              </w:rPr>
              <w:t>Թ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-ի կամ </w:t>
            </w:r>
            <w:r>
              <w:rPr>
                <w:rFonts w:ascii="GHEA Grapalat" w:hAnsi="GHEA Grapalat" w:cs="Sylfaen"/>
                <w:lang w:val="hy-AM"/>
              </w:rPr>
              <w:t>ԳԻԱ</w:t>
            </w:r>
            <w:r w:rsidRPr="00686544">
              <w:rPr>
                <w:rFonts w:ascii="GHEA Grapalat" w:hAnsi="GHEA Grapalat" w:cs="Sylfaen"/>
                <w:lang w:val="hy-AM"/>
              </w:rPr>
              <w:t>Փ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թեստ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ի և պետք է ստանան </w:t>
            </w:r>
            <w:r w:rsidR="002B2A8A" w:rsidRPr="002B2A8A">
              <w:rPr>
                <w:rFonts w:ascii="GHEA Grapalat" w:hAnsi="GHEA Grapalat" w:cs="Sylfaen"/>
                <w:lang w:val="hy-AM"/>
              </w:rPr>
              <w:t>ՏԲ-ի կանխարգելիչ բուժում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 ըստ հաստատված ռեժիմի: Բացասական պատասխանի դեպքում, </w:t>
            </w:r>
            <w:r>
              <w:rPr>
                <w:rFonts w:ascii="GHEA Grapalat" w:hAnsi="GHEA Grapalat" w:cs="Sylfaen"/>
                <w:lang w:val="hy-AM"/>
              </w:rPr>
              <w:t>ՏՄ</w:t>
            </w:r>
            <w:r w:rsidRPr="00E576C1">
              <w:rPr>
                <w:rFonts w:ascii="GHEA Grapalat" w:hAnsi="GHEA Grapalat" w:cs="Sylfaen"/>
                <w:lang w:val="hy-AM"/>
              </w:rPr>
              <w:t>Թ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-ն կամ </w:t>
            </w:r>
            <w:r>
              <w:rPr>
                <w:rFonts w:ascii="GHEA Grapalat" w:hAnsi="GHEA Grapalat" w:cs="Sylfaen"/>
                <w:lang w:val="hy-AM"/>
              </w:rPr>
              <w:t>ԳԻԱ</w:t>
            </w:r>
            <w:r w:rsidRPr="00686544">
              <w:rPr>
                <w:rFonts w:ascii="GHEA Grapalat" w:hAnsi="GHEA Grapalat" w:cs="Sylfaen"/>
                <w:lang w:val="hy-AM"/>
              </w:rPr>
              <w:t>Փ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-ը պետք է կրկնել պատուհանի շրջանից հետո՝ 8-12 շաբաթ անց ՏԲ պացիենտի (ինդեքս դեպքի) հետ վերջին կոնտակտից հետո </w:t>
            </w: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(եթե վերջին կոնտակտի ամսաթիվը անհայտ է, ապա հաշվարկման սկիզբ համարել առաջին մաշկային փորձի ամսաթիվը)</w:t>
            </w:r>
            <w:r w:rsidRPr="00B50AC5">
              <w:rPr>
                <w:rFonts w:ascii="GHEA Grapalat" w:hAnsi="GHEA Grapalat" w:cs="Sylfaen"/>
                <w:lang w:val="hy-AM"/>
              </w:rPr>
              <w:t xml:space="preserve">, բացասական պատասխանի դեպքում </w:t>
            </w:r>
            <w:r w:rsidR="002B2A8A" w:rsidRPr="002B2A8A">
              <w:rPr>
                <w:rFonts w:ascii="GHEA Grapalat" w:hAnsi="GHEA Grapalat" w:cs="Sylfaen"/>
                <w:lang w:val="hy-AM"/>
              </w:rPr>
              <w:t>ՏԲ-ի կանխարգելիչ բուժում</w:t>
            </w:r>
            <w:r w:rsidRPr="00B50AC5">
              <w:rPr>
                <w:rFonts w:ascii="GHEA Grapalat" w:hAnsi="GHEA Grapalat" w:cs="Sylfaen"/>
                <w:lang w:val="hy-AM"/>
              </w:rPr>
              <w:t>ը պետք է դադարեցվի, իսկ դրական պատասխանի դեպքում շարունակվի:</w:t>
            </w:r>
          </w:p>
        </w:tc>
      </w:tr>
      <w:tr w:rsidR="008614A1" w:rsidRPr="00855FC0" w14:paraId="2C275604" w14:textId="493AEDD4" w:rsidTr="008614A1">
        <w:trPr>
          <w:trHeight w:val="332"/>
        </w:trPr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08A8" w14:textId="77777777" w:rsidR="008614A1" w:rsidRPr="008614A1" w:rsidRDefault="008614A1" w:rsidP="008614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E58D" w14:textId="73312AC7" w:rsidR="008614A1" w:rsidRPr="00B50AC5" w:rsidRDefault="008614A1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Հոսպիտալացման Ցուցում</w:t>
            </w:r>
          </w:p>
        </w:tc>
        <w:tc>
          <w:tcPr>
            <w:tcW w:w="68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3591CE" w14:textId="5E7BA0E5" w:rsidR="008614A1" w:rsidRPr="00B50AC5" w:rsidRDefault="008614A1" w:rsidP="00AB75D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Դեղ</w:t>
            </w:r>
            <w:r w:rsidRPr="00686544">
              <w:rPr>
                <w:rFonts w:ascii="GHEA Grapalat" w:hAnsi="GHEA Grapalat"/>
                <w:lang w:val="hy-AM"/>
              </w:rPr>
              <w:t>երի</w:t>
            </w:r>
            <w:r w:rsidRPr="00B50AC5">
              <w:rPr>
                <w:rFonts w:ascii="GHEA Grapalat" w:hAnsi="GHEA Grapalat"/>
                <w:lang w:val="hy-AM"/>
              </w:rPr>
              <w:t xml:space="preserve"> բարդ  անցանկալի երևույթների առկայության դեպքում</w:t>
            </w:r>
          </w:p>
        </w:tc>
      </w:tr>
    </w:tbl>
    <w:p w14:paraId="2DC6E48F" w14:textId="5454D7D2" w:rsidR="00F90016" w:rsidRDefault="00F90016" w:rsidP="00F90016">
      <w:pPr>
        <w:pStyle w:val="ListParagraph"/>
        <w:spacing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D45505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3C56F4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Սույն հավելվածի Ձև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E96347">
        <w:rPr>
          <w:rFonts w:ascii="GHEA Grapalat" w:hAnsi="GHEA Grapalat"/>
          <w:sz w:val="24"/>
          <w:szCs w:val="24"/>
          <w:lang w:val="hy-AM"/>
        </w:rPr>
        <w:t>–</w:t>
      </w:r>
      <w:r>
        <w:rPr>
          <w:rFonts w:ascii="GHEA Grapalat" w:hAnsi="GHEA Grapalat"/>
          <w:sz w:val="24"/>
          <w:szCs w:val="24"/>
          <w:lang w:val="hy-AM"/>
        </w:rPr>
        <w:t>ի 10-րդ ենթակետ</w:t>
      </w:r>
      <w:r w:rsidRPr="00E96347">
        <w:rPr>
          <w:rFonts w:ascii="GHEA Grapalat" w:hAnsi="GHEA Grapalat"/>
          <w:sz w:val="24"/>
          <w:szCs w:val="24"/>
          <w:lang w:val="hy-AM"/>
        </w:rPr>
        <w:t>ում նշված</w:t>
      </w:r>
      <w:r>
        <w:rPr>
          <w:rFonts w:ascii="GHEA Grapalat" w:hAnsi="GHEA Grapalat"/>
          <w:sz w:val="24"/>
          <w:szCs w:val="24"/>
          <w:lang w:val="hy-AM"/>
        </w:rPr>
        <w:t xml:space="preserve"> զննումը իրականացվում է.</w:t>
      </w:r>
    </w:p>
    <w:p w14:paraId="423B169E" w14:textId="77777777" w:rsidR="00F90016" w:rsidRPr="00DA2CBE" w:rsidRDefault="00F90016" w:rsidP="00F90016">
      <w:pPr>
        <w:pStyle w:val="ListParagraph"/>
        <w:spacing w:line="36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1</w:t>
      </w:r>
      <w:r w:rsidRPr="00D4550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)</w:t>
      </w:r>
      <w:r w:rsidRPr="00DA2CB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գինեկոլոգիական աթոռի վրա՝ մեջքի վրա պառկած և ոտքեր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ը մաքսիմալ ծալած դեպի որովայնը.</w:t>
      </w:r>
    </w:p>
    <w:p w14:paraId="6FDF8EFA" w14:textId="77777777" w:rsidR="00F90016" w:rsidRPr="00DA2CBE" w:rsidRDefault="00F90016" w:rsidP="00F90016">
      <w:pPr>
        <w:pStyle w:val="ListParagraph"/>
        <w:spacing w:line="36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D4550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2)</w:t>
      </w:r>
      <w:r w:rsidRPr="00DA2CB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կողքի վրա՝ ոտքե</w:t>
      </w: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րը մաքսիմալ ծալած դեպի որովայնը.</w:t>
      </w:r>
    </w:p>
    <w:p w14:paraId="6E7CF604" w14:textId="77777777" w:rsidR="00F90016" w:rsidRPr="00E96347" w:rsidRDefault="00F90016" w:rsidP="00F90016">
      <w:pPr>
        <w:pStyle w:val="ListParagraph"/>
        <w:spacing w:line="360" w:lineRule="auto"/>
        <w:ind w:left="0" w:firstLine="720"/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</w:pPr>
      <w:r w:rsidRPr="00D45505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3)</w:t>
      </w:r>
      <w:r w:rsidRPr="00DA2CBE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ծունկ-արմունկային դիրքում:</w:t>
      </w:r>
    </w:p>
    <w:p w14:paraId="4AF6F88E" w14:textId="52786819" w:rsidR="00F90016" w:rsidRPr="00E96347" w:rsidRDefault="003C56F4" w:rsidP="00F90016">
      <w:pPr>
        <w:pStyle w:val="ListParagraph"/>
        <w:spacing w:after="0" w:line="360" w:lineRule="auto"/>
        <w:ind w:left="0" w:right="-37"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6</w:t>
      </w:r>
      <w:r w:rsidR="00F90016" w:rsidRPr="00E9634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="00F90016"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Բժիշկ</w:t>
      </w:r>
      <w:r w:rsidR="00F90016"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մասնագետի</w:t>
      </w:r>
      <w:r w:rsidR="00F90016"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կողմից</w:t>
      </w:r>
      <w:r w:rsidR="00F90016"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պացիենտի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զննում</w:t>
      </w:r>
      <w:r w:rsidR="00F90016"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ը, խորհրդատվությունը իրականացվում է ըստ Ձև 2–ի 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(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անհրաժեշտության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դեպքում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նշել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հիվանդության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փուլերը</w:t>
      </w:r>
      <w:r w:rsidR="00F90016"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)</w:t>
      </w:r>
      <w:r w:rsidR="00F90016" w:rsidRPr="00E9634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1992BF70" w14:textId="77777777" w:rsidR="00F90016" w:rsidRDefault="00F90016" w:rsidP="00AB75D7">
      <w:pPr>
        <w:pStyle w:val="ListParagraph"/>
        <w:spacing w:line="276" w:lineRule="auto"/>
        <w:jc w:val="right"/>
        <w:rPr>
          <w:rFonts w:ascii="GHEA Grapalat" w:eastAsia="Times New Roman" w:hAnsi="GHEA Grapalat" w:cs="Calibri"/>
          <w:b/>
          <w:color w:val="000000"/>
          <w:lang w:val="hy-AM" w:eastAsia="ru-RU"/>
        </w:rPr>
      </w:pPr>
    </w:p>
    <w:p w14:paraId="4C6AA78F" w14:textId="1C984B70" w:rsidR="006D143D" w:rsidRPr="00B50AC5" w:rsidRDefault="004165C7" w:rsidP="00AB75D7">
      <w:pPr>
        <w:pStyle w:val="ListParagraph"/>
        <w:spacing w:line="276" w:lineRule="auto"/>
        <w:jc w:val="right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eastAsia="Times New Roman" w:hAnsi="GHEA Grapalat" w:cs="Calibri"/>
          <w:b/>
          <w:color w:val="000000"/>
          <w:lang w:val="hy-AM" w:eastAsia="ru-RU"/>
        </w:rPr>
        <w:t>Ձև 2</w:t>
      </w:r>
    </w:p>
    <w:p w14:paraId="613717D0" w14:textId="030CFA65" w:rsidR="006D143D" w:rsidRPr="00B50AC5" w:rsidRDefault="006D143D" w:rsidP="00AB75D7">
      <w:pPr>
        <w:pStyle w:val="ListParagraph"/>
        <w:spacing w:after="0" w:line="276" w:lineRule="auto"/>
        <w:ind w:left="0" w:right="-37"/>
        <w:jc w:val="center"/>
        <w:rPr>
          <w:rFonts w:ascii="GHEA Grapalat" w:hAnsi="GHEA Grapalat" w:cs="Arial"/>
          <w:b/>
          <w:lang w:val="hy-AM"/>
        </w:rPr>
      </w:pPr>
    </w:p>
    <w:tbl>
      <w:tblPr>
        <w:tblW w:w="13393" w:type="dxa"/>
        <w:tblInd w:w="118" w:type="dxa"/>
        <w:tblLook w:val="04A0" w:firstRow="1" w:lastRow="0" w:firstColumn="1" w:lastColumn="0" w:noHBand="0" w:noVBand="1"/>
      </w:tblPr>
      <w:tblGrid>
        <w:gridCol w:w="976"/>
        <w:gridCol w:w="10003"/>
        <w:gridCol w:w="1144"/>
        <w:gridCol w:w="1270"/>
      </w:tblGrid>
      <w:tr w:rsidR="006D143D" w:rsidRPr="00B50AC5" w14:paraId="58E9127A" w14:textId="77777777" w:rsidTr="00DE5BEC">
        <w:trPr>
          <w:trHeight w:val="176"/>
        </w:trPr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9982B9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Հ/հ</w:t>
            </w:r>
          </w:p>
        </w:tc>
        <w:tc>
          <w:tcPr>
            <w:tcW w:w="1000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138A5DC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color w:val="000000"/>
                <w:lang w:val="hy-AM" w:eastAsia="ru-RU"/>
              </w:rPr>
              <w:t>Խորհրդատվության տեսակը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BAAB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color w:val="000000"/>
                <w:lang w:val="hy-AM" w:eastAsia="ru-RU"/>
              </w:rPr>
              <w:t>Տրամադրման քանակը</w:t>
            </w:r>
          </w:p>
        </w:tc>
      </w:tr>
      <w:tr w:rsidR="006D143D" w:rsidRPr="00B50AC5" w14:paraId="059138D3" w14:textId="77777777" w:rsidTr="00DE5BEC">
        <w:trPr>
          <w:trHeight w:val="195"/>
        </w:trPr>
        <w:tc>
          <w:tcPr>
            <w:tcW w:w="9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6C2CB" w14:textId="77777777" w:rsidR="006D143D" w:rsidRPr="00B50AC5" w:rsidRDefault="006D143D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</w:p>
        </w:tc>
        <w:tc>
          <w:tcPr>
            <w:tcW w:w="1000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1B8B82" w14:textId="77777777" w:rsidR="006D143D" w:rsidRPr="00B50AC5" w:rsidRDefault="006D143D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E90C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ԱԲ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D0491A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val="hy-AM" w:eastAsia="ru-RU"/>
              </w:rPr>
              <w:t>Բ</w:t>
            </w:r>
          </w:p>
        </w:tc>
      </w:tr>
      <w:tr w:rsidR="006D143D" w:rsidRPr="00B50AC5" w14:paraId="6080ABC5" w14:textId="77777777" w:rsidTr="00DE5BEC">
        <w:trPr>
          <w:trHeight w:val="270"/>
        </w:trPr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DA9FB" w14:textId="77777777" w:rsidR="006D143D" w:rsidRPr="00B50AC5" w:rsidRDefault="006D143D" w:rsidP="002B2A8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</w:p>
        </w:tc>
        <w:tc>
          <w:tcPr>
            <w:tcW w:w="100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AEC5EB" w14:textId="2133C211" w:rsidR="006D143D" w:rsidRPr="00B50AC5" w:rsidRDefault="00931E82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eastAsia="ru-RU"/>
              </w:rPr>
              <w:t xml:space="preserve"> Ֆթիզիատր 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EBAA01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1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DE5B5EA" w14:textId="7777777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1</w:t>
            </w:r>
          </w:p>
        </w:tc>
      </w:tr>
      <w:tr w:rsidR="006D143D" w:rsidRPr="00B50AC5" w14:paraId="50C625FE" w14:textId="77777777" w:rsidTr="00DE5BEC">
        <w:trPr>
          <w:trHeight w:val="251"/>
        </w:trPr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A95A2" w14:textId="77777777" w:rsidR="006D143D" w:rsidRPr="00B50AC5" w:rsidRDefault="006D143D" w:rsidP="002B2A8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</w:p>
        </w:tc>
        <w:tc>
          <w:tcPr>
            <w:tcW w:w="100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5B455D" w14:textId="4DFE3E4A" w:rsidR="006D143D" w:rsidRPr="00B50AC5" w:rsidRDefault="00931E82" w:rsidP="00AB75D7">
            <w:pPr>
              <w:spacing w:after="0" w:line="240" w:lineRule="auto"/>
              <w:rPr>
                <w:rFonts w:ascii="GHEA Grapalat" w:hAnsi="GHEA Grapalat"/>
              </w:rPr>
            </w:pPr>
            <w:r w:rsidRPr="00B50AC5">
              <w:rPr>
                <w:rFonts w:ascii="GHEA Grapalat" w:hAnsi="GHEA Grapalat"/>
              </w:rPr>
              <w:t>Մանկաբույժ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0CEA4" w14:textId="78322B9B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0,3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84127D" w14:textId="37BFCA27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0,3</w:t>
            </w:r>
          </w:p>
        </w:tc>
      </w:tr>
      <w:tr w:rsidR="006D143D" w:rsidRPr="00B50AC5" w14:paraId="152D68D6" w14:textId="77777777" w:rsidTr="00DE5BEC">
        <w:trPr>
          <w:trHeight w:val="251"/>
        </w:trPr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C6048" w14:textId="77777777" w:rsidR="006D143D" w:rsidRPr="00B50AC5" w:rsidRDefault="006D143D" w:rsidP="002B2A8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</w:pPr>
          </w:p>
        </w:tc>
        <w:tc>
          <w:tcPr>
            <w:tcW w:w="1000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BF69048" w14:textId="0D7E1683" w:rsidR="006D143D" w:rsidRPr="00B50AC5" w:rsidRDefault="00362B25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color w:val="000000"/>
                <w:lang w:eastAsia="ru-RU"/>
              </w:rPr>
              <w:t>Ընտանեկան բժիշկ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0A0A1A" w14:textId="53BB02EC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0,3</w:t>
            </w:r>
          </w:p>
        </w:tc>
        <w:tc>
          <w:tcPr>
            <w:tcW w:w="127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324929" w14:textId="486BFFE2" w:rsidR="006D143D" w:rsidRPr="00B50AC5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lang w:eastAsia="ru-RU"/>
              </w:rPr>
            </w:pPr>
            <w:r w:rsidRPr="00B50AC5">
              <w:rPr>
                <w:rFonts w:ascii="GHEA Grapalat" w:eastAsia="Times New Roman" w:hAnsi="GHEA Grapalat" w:cs="Courier New"/>
                <w:color w:val="000000"/>
                <w:lang w:val="hy-AM" w:eastAsia="ru-RU"/>
              </w:rPr>
              <w:t>0,3</w:t>
            </w:r>
          </w:p>
        </w:tc>
      </w:tr>
    </w:tbl>
    <w:p w14:paraId="5F3E5D30" w14:textId="2391F57D" w:rsidR="00F90016" w:rsidRPr="00E96347" w:rsidRDefault="00F90016" w:rsidP="00F90016">
      <w:pPr>
        <w:spacing w:before="240" w:after="0" w:line="360" w:lineRule="auto"/>
        <w:ind w:right="-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9634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C56F4">
        <w:rPr>
          <w:rFonts w:ascii="GHEA Grapalat" w:hAnsi="GHEA Grapalat"/>
          <w:sz w:val="24"/>
          <w:szCs w:val="24"/>
          <w:lang w:val="hy-AM"/>
        </w:rPr>
        <w:t>7</w:t>
      </w:r>
      <w:r w:rsidRPr="00E9634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 Սույն հավելվածի Ձև 2–ում նշված </w:t>
      </w:r>
      <w:r w:rsidRPr="00E96347">
        <w:rPr>
          <w:rFonts w:ascii="GHEA Grapalat" w:hAnsi="GHEA Grapalat" w:cs="Arial"/>
          <w:sz w:val="24"/>
          <w:szCs w:val="24"/>
          <w:lang w:val="hy-AM"/>
        </w:rPr>
        <w:t>տրամադրվող քանակների համար նշվում է միջինացված ցուցանիշ, նկատի ունենալով տվյալ զննման, խորհրդատվության իրականացման հաճախականությունը։ Հաճախականության հաշվարկման միավորը պետք է լինի 0-ից 1 միջակայքում և հաշվի առնի նմանատիպ 100 դեպքերում տվյալ զննման, խորհրդատվության իրականացման հաճախականությունը։</w:t>
      </w:r>
    </w:p>
    <w:p w14:paraId="7689EB5A" w14:textId="1AA1A68E" w:rsidR="00F90016" w:rsidRPr="00E96347" w:rsidRDefault="00F90016" w:rsidP="00F90016">
      <w:pPr>
        <w:spacing w:after="0" w:line="360" w:lineRule="auto"/>
        <w:ind w:right="-1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96347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3C56F4">
        <w:rPr>
          <w:rFonts w:ascii="GHEA Grapalat" w:hAnsi="GHEA Grapalat" w:cs="Arial"/>
          <w:sz w:val="24"/>
          <w:szCs w:val="24"/>
          <w:lang w:val="hy-AM"/>
        </w:rPr>
        <w:t>8</w:t>
      </w:r>
      <w:r w:rsidRPr="00E9634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634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Լաբորատոր-գործիքային ախտորոշիչ հետազոտություններն իրականացվում են՝ ըստ Ձև 3–ի 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(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անհրաժեշտության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դեպքում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նշել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հիվանդության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Pr="00E96347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փուլերը</w:t>
      </w:r>
      <w:r w:rsidRPr="00E9634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)</w:t>
      </w:r>
      <w:r w:rsidRPr="00E96347">
        <w:rPr>
          <w:rFonts w:ascii="Cambria Math" w:eastAsia="Times New Roman" w:hAnsi="Cambria Math" w:cs="Cambria Math"/>
          <w:color w:val="000000"/>
          <w:sz w:val="24"/>
          <w:szCs w:val="24"/>
          <w:lang w:val="hy-AM" w:eastAsia="ru-RU"/>
        </w:rPr>
        <w:t>․</w:t>
      </w:r>
    </w:p>
    <w:p w14:paraId="615848BC" w14:textId="77777777" w:rsidR="006D143D" w:rsidRPr="00B50AC5" w:rsidRDefault="004165C7" w:rsidP="00AB75D7">
      <w:pPr>
        <w:pStyle w:val="ListParagraph"/>
        <w:ind w:left="1440"/>
        <w:jc w:val="right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eastAsia="Times New Roman" w:hAnsi="GHEA Grapalat" w:cs="Calibri"/>
          <w:b/>
          <w:color w:val="000000"/>
          <w:lang w:val="hy-AM" w:eastAsia="ru-RU"/>
        </w:rPr>
        <w:t>Ձև 3</w:t>
      </w:r>
    </w:p>
    <w:p w14:paraId="646F79B6" w14:textId="782B0411" w:rsidR="006D143D" w:rsidRPr="00B50AC5" w:rsidRDefault="006D143D" w:rsidP="00AB75D7">
      <w:pPr>
        <w:pStyle w:val="ListParagraph"/>
        <w:spacing w:after="0" w:line="276" w:lineRule="auto"/>
        <w:ind w:left="1440"/>
        <w:jc w:val="center"/>
        <w:rPr>
          <w:rFonts w:ascii="GHEA Grapalat" w:hAnsi="GHEA Grapalat" w:cs="Arial"/>
          <w:b/>
          <w:lang w:val="hy-AM"/>
        </w:rPr>
      </w:pPr>
    </w:p>
    <w:tbl>
      <w:tblPr>
        <w:tblW w:w="1349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097"/>
        <w:gridCol w:w="4209"/>
        <w:gridCol w:w="966"/>
        <w:gridCol w:w="902"/>
        <w:gridCol w:w="5219"/>
      </w:tblGrid>
      <w:tr w:rsidR="003C56F4" w:rsidRPr="003C56F4" w14:paraId="5EE02E27" w14:textId="77777777" w:rsidTr="003C56F4">
        <w:trPr>
          <w:trHeight w:val="295"/>
        </w:trPr>
        <w:tc>
          <w:tcPr>
            <w:tcW w:w="13490" w:type="dxa"/>
            <w:gridSpan w:val="6"/>
          </w:tcPr>
          <w:p w14:paraId="239D26A4" w14:textId="0235696F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>Լաբորատոր հետազոտություններ</w:t>
            </w:r>
          </w:p>
        </w:tc>
      </w:tr>
      <w:tr w:rsidR="003C56F4" w:rsidRPr="003C56F4" w14:paraId="5D9B489F" w14:textId="77777777" w:rsidTr="003C56F4">
        <w:trPr>
          <w:trHeight w:val="449"/>
        </w:trPr>
        <w:tc>
          <w:tcPr>
            <w:tcW w:w="1097" w:type="dxa"/>
            <w:vMerge w:val="restart"/>
          </w:tcPr>
          <w:p w14:paraId="48E5B5D8" w14:textId="263B1971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1097" w:type="dxa"/>
            <w:vMerge w:val="restart"/>
            <w:vAlign w:val="center"/>
          </w:tcPr>
          <w:p w14:paraId="3D4BFB07" w14:textId="4ED7D3D0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Կոդը</w:t>
            </w:r>
          </w:p>
          <w:p w14:paraId="5957806F" w14:textId="34ECEAC6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9" w:type="dxa"/>
            <w:vMerge w:val="restart"/>
            <w:vAlign w:val="center"/>
          </w:tcPr>
          <w:p w14:paraId="0CE6FC3E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Անվանումը</w:t>
            </w:r>
          </w:p>
        </w:tc>
        <w:tc>
          <w:tcPr>
            <w:tcW w:w="1868" w:type="dxa"/>
            <w:gridSpan w:val="2"/>
            <w:vAlign w:val="center"/>
          </w:tcPr>
          <w:p w14:paraId="146788CE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Տրամադրման քանակը</w:t>
            </w:r>
          </w:p>
        </w:tc>
        <w:tc>
          <w:tcPr>
            <w:tcW w:w="5219" w:type="dxa"/>
            <w:vMerge w:val="restart"/>
            <w:vAlign w:val="center"/>
          </w:tcPr>
          <w:p w14:paraId="01A4A26D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Արդյունք</w:t>
            </w:r>
          </w:p>
          <w:p w14:paraId="23F7DBA8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  <w:p w14:paraId="62F7F5BD" w14:textId="76B28E60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</w:tr>
      <w:tr w:rsidR="003C56F4" w:rsidRPr="003C56F4" w14:paraId="4EDFEF12" w14:textId="77777777" w:rsidTr="003C56F4">
        <w:trPr>
          <w:trHeight w:val="602"/>
        </w:trPr>
        <w:tc>
          <w:tcPr>
            <w:tcW w:w="1097" w:type="dxa"/>
            <w:vMerge/>
          </w:tcPr>
          <w:p w14:paraId="0CF212F9" w14:textId="77777777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97" w:type="dxa"/>
            <w:vMerge/>
            <w:vAlign w:val="center"/>
          </w:tcPr>
          <w:p w14:paraId="475482CB" w14:textId="2F7DECCC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4209" w:type="dxa"/>
            <w:vMerge/>
            <w:vAlign w:val="center"/>
          </w:tcPr>
          <w:p w14:paraId="102A8881" w14:textId="77777777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966" w:type="dxa"/>
            <w:vAlign w:val="center"/>
          </w:tcPr>
          <w:p w14:paraId="4AC37FC6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ԱԲ</w:t>
            </w:r>
          </w:p>
        </w:tc>
        <w:tc>
          <w:tcPr>
            <w:tcW w:w="902" w:type="dxa"/>
            <w:vAlign w:val="center"/>
          </w:tcPr>
          <w:p w14:paraId="5CC949DD" w14:textId="77777777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Բ</w:t>
            </w:r>
          </w:p>
          <w:p w14:paraId="4909B0A3" w14:textId="312382D2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eastAsia="Times New Roman" w:cs="Calibri"/>
                <w:color w:val="000000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219" w:type="dxa"/>
            <w:vMerge/>
            <w:vAlign w:val="center"/>
          </w:tcPr>
          <w:p w14:paraId="13CA31A9" w14:textId="310400EF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3C56F4" w:rsidRPr="003C56F4" w14:paraId="090B0A32" w14:textId="77777777" w:rsidTr="003C56F4">
        <w:trPr>
          <w:trHeight w:val="285"/>
        </w:trPr>
        <w:tc>
          <w:tcPr>
            <w:tcW w:w="1097" w:type="dxa"/>
          </w:tcPr>
          <w:p w14:paraId="37BD8048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7C73BB3F" w14:textId="3B930505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7EE34C61" w14:textId="05EADF48" w:rsidR="003C56F4" w:rsidRPr="003C56F4" w:rsidRDefault="003C56F4" w:rsidP="00AB75D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Տ</w:t>
            </w:r>
            <w:r w:rsidR="004609F1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Բ-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  մաշկային թեստ</w:t>
            </w:r>
          </w:p>
          <w:p w14:paraId="688BE9E5" w14:textId="77777777" w:rsidR="003C56F4" w:rsidRPr="003C56F4" w:rsidRDefault="003C56F4" w:rsidP="00AB75D7">
            <w:pPr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Align w:val="center"/>
          </w:tcPr>
          <w:p w14:paraId="70F6260A" w14:textId="6C7F6D1A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2E1E30C4" w14:textId="21FF42DB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-</w:t>
            </w:r>
            <w:r w:rsidRPr="003C56F4">
              <w:rPr>
                <w:rFonts w:eastAsia="Times New Roman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9" w:type="dxa"/>
            <w:vAlign w:val="bottom"/>
          </w:tcPr>
          <w:p w14:paraId="57418EAB" w14:textId="3E14DCFE" w:rsidR="003C56F4" w:rsidRPr="003C56F4" w:rsidRDefault="003C56F4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ՏԲ-վարակվածության ախտորոշում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:Կատարվում է բուժումը սկսելուց առաջ: Տ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ՄԹ-ն 10 մմ և ավելին համարվում է  դրական պատասխան: 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Դրական պատասխանի դեպքում կրկնության կարիք չկա: Մինչ բուժումը բացասական 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lastRenderedPageBreak/>
              <w:t xml:space="preserve">արդյունքի դեպքում կրկնել պատուհանի շրջանից հետո՝  ՏԲ պացինետի (ինդեքս դեպքի) հետ վերջին կոնտակտից 8-12 շաբաթ անց (եթե վերջին կոնտակտի ամսաթիվը անհայտ է, ապա հաշվարկման սկիզբ համարել առաջին մաշկային փորձի ամսաթիվը): Բացասական արդյունքի դեպքում, դադարեցնել բուժումը, դրական արդյունքի դեպքում շարունակել: </w:t>
            </w:r>
          </w:p>
        </w:tc>
      </w:tr>
      <w:tr w:rsidR="003C56F4" w:rsidRPr="003C56F4" w14:paraId="586FAB60" w14:textId="77777777" w:rsidTr="003C56F4">
        <w:trPr>
          <w:trHeight w:val="285"/>
        </w:trPr>
        <w:tc>
          <w:tcPr>
            <w:tcW w:w="1097" w:type="dxa"/>
          </w:tcPr>
          <w:p w14:paraId="200E21C5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0792CC00" w14:textId="6F2E565A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25A8D971" w14:textId="6B922B20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Գամմա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-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ինտերֆերոնի արտազատման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փորձ</w:t>
            </w:r>
          </w:p>
        </w:tc>
        <w:tc>
          <w:tcPr>
            <w:tcW w:w="966" w:type="dxa"/>
            <w:vAlign w:val="center"/>
          </w:tcPr>
          <w:p w14:paraId="59AA9BCA" w14:textId="58D596CD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1.0</w:t>
            </w:r>
          </w:p>
        </w:tc>
        <w:tc>
          <w:tcPr>
            <w:tcW w:w="902" w:type="dxa"/>
            <w:vAlign w:val="center"/>
          </w:tcPr>
          <w:p w14:paraId="01278920" w14:textId="46C7538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  <w:tc>
          <w:tcPr>
            <w:tcW w:w="5219" w:type="dxa"/>
            <w:vAlign w:val="bottom"/>
          </w:tcPr>
          <w:p w14:paraId="64C443F3" w14:textId="30EFD4EA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ՏԲ-վարակվածության ախտորոշում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, Կատարվում է բուժումը սկսելուց առաջ: Դրական պատասխանի դեպքում կրկնության կարիք չկա: Մինչ բուժումը բացասական արդյունքի դեպքում կրկնել պատուհանի շրջանից հետո՝  ՏԲ պացինետի (ինդեքս դեպքի) հետ վերջին կոնտակտից 8-12 շաբաթ անց (եթե վերջին կոնտակտի ամսաթիվը անհայտ է, ապա հաշվարկման սկիզբ համարել առաջին մաշկային փորձի ամսաթիվը): Բացասական արդյունքի դեպքում, դադարեցնել բուժումը, դրական արդյունքի դեպքում շարունակել: </w:t>
            </w:r>
          </w:p>
        </w:tc>
      </w:tr>
      <w:tr w:rsidR="003C56F4" w:rsidRPr="003C56F4" w14:paraId="71994028" w14:textId="77777777" w:rsidTr="003C56F4">
        <w:trPr>
          <w:trHeight w:val="285"/>
        </w:trPr>
        <w:tc>
          <w:tcPr>
            <w:tcW w:w="1097" w:type="dxa"/>
          </w:tcPr>
          <w:p w14:paraId="767E1399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4F0E6EF8" w14:textId="0ACB75B0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77C40BEA" w14:textId="5F25C6D4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Արյան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ընդհանուր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հետազոտություն` ԷՆԱ-ի որոշմամբ</w:t>
            </w:r>
          </w:p>
        </w:tc>
        <w:tc>
          <w:tcPr>
            <w:tcW w:w="966" w:type="dxa"/>
            <w:vAlign w:val="center"/>
          </w:tcPr>
          <w:p w14:paraId="3709F875" w14:textId="0271921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1</w:t>
            </w: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902" w:type="dxa"/>
            <w:vAlign w:val="center"/>
          </w:tcPr>
          <w:p w14:paraId="148D8270" w14:textId="23C689EC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0.02</w:t>
            </w:r>
          </w:p>
        </w:tc>
        <w:tc>
          <w:tcPr>
            <w:tcW w:w="5219" w:type="dxa"/>
            <w:vAlign w:val="bottom"/>
          </w:tcPr>
          <w:p w14:paraId="13D1C5AD" w14:textId="08C97CE3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Եթե կան շեղումներ, պարզել պատճառը </w:t>
            </w:r>
          </w:p>
        </w:tc>
      </w:tr>
      <w:tr w:rsidR="003C56F4" w:rsidRPr="003C56F4" w14:paraId="7A900BC8" w14:textId="77777777" w:rsidTr="003C56F4">
        <w:trPr>
          <w:trHeight w:val="285"/>
        </w:trPr>
        <w:tc>
          <w:tcPr>
            <w:tcW w:w="1097" w:type="dxa"/>
          </w:tcPr>
          <w:p w14:paraId="1236E523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12C9DC81" w14:textId="3FBC129E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651CF529" w14:textId="62657072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Կրեատինին</w:t>
            </w:r>
          </w:p>
        </w:tc>
        <w:tc>
          <w:tcPr>
            <w:tcW w:w="966" w:type="dxa"/>
            <w:vAlign w:val="center"/>
          </w:tcPr>
          <w:p w14:paraId="22F61DDB" w14:textId="6897B727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56E42CFB" w14:textId="656A4713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0A9E6B89" w14:textId="73E22D20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Եթե կան շեղումներ, պարզել պատճառը: </w:t>
            </w:r>
            <w:r w:rsidRPr="003C56F4">
              <w:rPr>
                <w:rFonts w:ascii="GHEA Grapalat" w:hAnsi="GHEA Grapalat"/>
                <w:sz w:val="24"/>
                <w:szCs w:val="24"/>
              </w:rPr>
              <w:t>Եթե չկան շեղումներ, դեղերի հակացուցումները բացառելու նպատակով հաջորդ ստուգումը կատարվում է  միայն կլինիկական ցուցման կամ երիկամային  հիվանդության զգալի ռիսկի առկայության դեպքում,</w:t>
            </w:r>
          </w:p>
        </w:tc>
      </w:tr>
      <w:tr w:rsidR="003C56F4" w:rsidRPr="003C56F4" w14:paraId="6508F918" w14:textId="77777777" w:rsidTr="003C56F4">
        <w:trPr>
          <w:trHeight w:val="285"/>
        </w:trPr>
        <w:tc>
          <w:tcPr>
            <w:tcW w:w="1097" w:type="dxa"/>
          </w:tcPr>
          <w:p w14:paraId="4BACA995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0A60BE65" w14:textId="37786A64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3C74D892" w14:textId="4039108D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Միզանյութ</w:t>
            </w:r>
          </w:p>
        </w:tc>
        <w:tc>
          <w:tcPr>
            <w:tcW w:w="966" w:type="dxa"/>
            <w:vAlign w:val="center"/>
          </w:tcPr>
          <w:p w14:paraId="69A53580" w14:textId="683CD879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02024EE3" w14:textId="3B6A9CAF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2D9916B5" w14:textId="46EA2893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Ե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թե կան շեղումներ, պարզել պատճառը: </w:t>
            </w:r>
            <w:r w:rsidRPr="003C56F4">
              <w:rPr>
                <w:rFonts w:ascii="GHEA Grapalat" w:hAnsi="GHEA Grapalat"/>
                <w:sz w:val="24"/>
                <w:szCs w:val="24"/>
              </w:rPr>
              <w:t>Եթե չկան շեղումներ, դեղերի հակացուցումները բացառելու նպատակով հաջորդ ստուգումը կատարվում է միայն կլինիկական ցուցման կամ երիկամային  հիվանդության զգալի ռիսկի առկայության դեպքում,</w:t>
            </w:r>
          </w:p>
        </w:tc>
      </w:tr>
      <w:tr w:rsidR="003C56F4" w:rsidRPr="003C56F4" w14:paraId="295CBDDF" w14:textId="77777777" w:rsidTr="003C56F4">
        <w:trPr>
          <w:trHeight w:val="285"/>
        </w:trPr>
        <w:tc>
          <w:tcPr>
            <w:tcW w:w="1097" w:type="dxa"/>
          </w:tcPr>
          <w:p w14:paraId="29D7A773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482296AD" w14:textId="2E37F4C0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71FB54DE" w14:textId="4A8DC735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Ալանինամինատրանսֆերազ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(ԱԼՏ)</w:t>
            </w:r>
          </w:p>
        </w:tc>
        <w:tc>
          <w:tcPr>
            <w:tcW w:w="966" w:type="dxa"/>
            <w:vAlign w:val="center"/>
          </w:tcPr>
          <w:p w14:paraId="51F3C9AD" w14:textId="3C20296D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108CC399" w14:textId="04EA1838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03387E95" w14:textId="2023644C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 Ե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թե կան շեղումներ, պարզել պատճառը: </w:t>
            </w:r>
            <w:r w:rsidRPr="003C56F4">
              <w:rPr>
                <w:rFonts w:ascii="GHEA Grapalat" w:hAnsi="GHEA Grapalat"/>
                <w:sz w:val="24"/>
                <w:szCs w:val="24"/>
              </w:rPr>
              <w:t>Եթե չկան շեղումներ, դեղերի հակացուցումները բացառելու նպատակով հաջորդ ստուգումը կատարվում է 3 շաբաթ անց և բուժման վերջում, ինչպես նաև կլինիկական ցուցման կամ լյարդի  հիվանդության զգալի ռիսկի առկայության դեպքում,</w:t>
            </w:r>
          </w:p>
        </w:tc>
      </w:tr>
      <w:tr w:rsidR="003C56F4" w:rsidRPr="003C56F4" w14:paraId="6B8D29E0" w14:textId="77777777" w:rsidTr="003C56F4">
        <w:trPr>
          <w:trHeight w:val="285"/>
        </w:trPr>
        <w:tc>
          <w:tcPr>
            <w:tcW w:w="1097" w:type="dxa"/>
          </w:tcPr>
          <w:p w14:paraId="1243C7D0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5544E4AA" w14:textId="476B4905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4F052F2A" w14:textId="3CC13E62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Ասպարտատամինատրանսֆերազ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(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ԱՍՏ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6" w:type="dxa"/>
            <w:vAlign w:val="center"/>
          </w:tcPr>
          <w:p w14:paraId="14EF3D32" w14:textId="5C830D7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390B5FF6" w14:textId="29E4470D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046D2E12" w14:textId="197EF268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Եթե կան շեղումներ, պարզել պատճառը: </w:t>
            </w:r>
            <w:r w:rsidRPr="003C56F4">
              <w:rPr>
                <w:rFonts w:ascii="GHEA Grapalat" w:hAnsi="GHEA Grapalat"/>
                <w:sz w:val="24"/>
                <w:szCs w:val="24"/>
              </w:rPr>
              <w:t>Եթե չկան շեղումներ, դեղերի հակացուցումները բացառելու նպատակով հաջորդ ստուգումը կատարվում է 3 շաբաթ անց և բուժման վերջում, ինչպես նաև կլինիկական ցուցման կամ լյարդի  հիվանդության զգալի ռիսկի առկայության դեպքում</w:t>
            </w:r>
          </w:p>
        </w:tc>
      </w:tr>
      <w:tr w:rsidR="003C56F4" w:rsidRPr="003C56F4" w14:paraId="40A5CB2D" w14:textId="77777777" w:rsidTr="003C56F4">
        <w:trPr>
          <w:trHeight w:val="285"/>
        </w:trPr>
        <w:tc>
          <w:tcPr>
            <w:tcW w:w="1097" w:type="dxa"/>
          </w:tcPr>
          <w:p w14:paraId="563ABED0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7824FF5D" w14:textId="305D124B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3E6583B4" w14:textId="392FAB89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Ընդհանուր բիլիռուբին՝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ֆրակցիաներով</w:t>
            </w:r>
          </w:p>
        </w:tc>
        <w:tc>
          <w:tcPr>
            <w:tcW w:w="966" w:type="dxa"/>
            <w:vAlign w:val="center"/>
          </w:tcPr>
          <w:p w14:paraId="577A600A" w14:textId="74D4815B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0CC33CB2" w14:textId="1F7F881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38FC4312" w14:textId="36263C40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Շեղումներ չեն հայտնաբերված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: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Եթե կան շեղումներ, պարզել պատճառը: </w:t>
            </w:r>
            <w:r w:rsidRPr="003C56F4">
              <w:rPr>
                <w:rFonts w:ascii="GHEA Grapalat" w:hAnsi="GHEA Grapalat"/>
                <w:sz w:val="24"/>
                <w:szCs w:val="24"/>
              </w:rPr>
              <w:t>Եթե չկան շեղումներ, դեղերի հակացուցումները բացառելու նպատակով հաջորդ ստուգումը կատարվում է միայն կլինիկական ցուցման կամ լյարդի  հիվանդության զգալի ռիսկի առկայության դեպքում,</w:t>
            </w:r>
          </w:p>
        </w:tc>
      </w:tr>
      <w:tr w:rsidR="003C56F4" w:rsidRPr="00855FC0" w14:paraId="6AEE3E99" w14:textId="77777777" w:rsidTr="003C56F4">
        <w:trPr>
          <w:trHeight w:val="285"/>
        </w:trPr>
        <w:tc>
          <w:tcPr>
            <w:tcW w:w="1097" w:type="dxa"/>
          </w:tcPr>
          <w:p w14:paraId="5A64FBBF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2B6738B9" w14:textId="216FB37F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31F7C8F4" w14:textId="259E4333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Արյան մեջ գլյուկոզի որոշում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14:paraId="09E517E1" w14:textId="4384C987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34D1C10C" w14:textId="5994F7EF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6DE7A693" w14:textId="78DDBCC3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Շեղումներ չեն հայտնաբերված: Եթե կան շեղումներ, պարզել պատճառը </w:t>
            </w:r>
          </w:p>
        </w:tc>
      </w:tr>
      <w:tr w:rsidR="003C56F4" w:rsidRPr="00855FC0" w14:paraId="2B765C18" w14:textId="77777777" w:rsidTr="003C56F4">
        <w:trPr>
          <w:trHeight w:val="285"/>
        </w:trPr>
        <w:tc>
          <w:tcPr>
            <w:tcW w:w="1097" w:type="dxa"/>
          </w:tcPr>
          <w:p w14:paraId="7151F596" w14:textId="77777777" w:rsidR="003C56F4" w:rsidRPr="00B30B65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97" w:type="dxa"/>
            <w:vAlign w:val="center"/>
          </w:tcPr>
          <w:p w14:paraId="6E54B23A" w14:textId="73D429D6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424642B2" w14:textId="406FCA37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Ընդհանուր սպիտակուց</w:t>
            </w:r>
          </w:p>
        </w:tc>
        <w:tc>
          <w:tcPr>
            <w:tcW w:w="966" w:type="dxa"/>
            <w:vAlign w:val="center"/>
          </w:tcPr>
          <w:p w14:paraId="1C798899" w14:textId="1BAD8968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2" w:type="dxa"/>
          </w:tcPr>
          <w:p w14:paraId="7D7A1891" w14:textId="4D868642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500D5B5A" w14:textId="747A7D88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Շեղումներ չեն հայտնաբերված: Եթե կան շեղումներ, պարզել պատճառը </w:t>
            </w:r>
          </w:p>
        </w:tc>
      </w:tr>
      <w:tr w:rsidR="003C56F4" w:rsidRPr="00855FC0" w14:paraId="475B126B" w14:textId="77777777" w:rsidTr="003C56F4">
        <w:trPr>
          <w:trHeight w:val="285"/>
        </w:trPr>
        <w:tc>
          <w:tcPr>
            <w:tcW w:w="1097" w:type="dxa"/>
          </w:tcPr>
          <w:p w14:paraId="00757805" w14:textId="77777777" w:rsidR="003C56F4" w:rsidRPr="00B30B65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97" w:type="dxa"/>
            <w:vAlign w:val="center"/>
          </w:tcPr>
          <w:p w14:paraId="0109C311" w14:textId="562EB0D1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6E8D10CE" w14:textId="55D3D6F3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Մեզի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ընդհանուր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հետազոտություն մանրադիտակով</w:t>
            </w:r>
          </w:p>
        </w:tc>
        <w:tc>
          <w:tcPr>
            <w:tcW w:w="966" w:type="dxa"/>
            <w:vAlign w:val="center"/>
          </w:tcPr>
          <w:p w14:paraId="34CAA06E" w14:textId="3AEA1DC4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</w:tcPr>
          <w:p w14:paraId="5C796910" w14:textId="7CEA3882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38C06121" w14:textId="7B00E7B0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Շեղումներ չեն հայտնաբերված:Եթե կան շեղումներ, պարզել պատճառը </w:t>
            </w:r>
          </w:p>
        </w:tc>
      </w:tr>
      <w:tr w:rsidR="003C56F4" w:rsidRPr="00855FC0" w14:paraId="3283D5E6" w14:textId="77777777" w:rsidTr="003C56F4">
        <w:trPr>
          <w:trHeight w:val="285"/>
        </w:trPr>
        <w:tc>
          <w:tcPr>
            <w:tcW w:w="1097" w:type="dxa"/>
          </w:tcPr>
          <w:p w14:paraId="0BC34F37" w14:textId="77777777" w:rsidR="003C56F4" w:rsidRPr="00B30B65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97" w:type="dxa"/>
            <w:vAlign w:val="center"/>
          </w:tcPr>
          <w:p w14:paraId="42F72D89" w14:textId="7A136CAD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1F9ABB5C" w14:textId="19A2F165" w:rsidR="003C56F4" w:rsidRPr="003C56F4" w:rsidRDefault="003C56F4" w:rsidP="003C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C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ռ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եակտիվ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սպիտակուց</w:t>
            </w:r>
          </w:p>
        </w:tc>
        <w:tc>
          <w:tcPr>
            <w:tcW w:w="966" w:type="dxa"/>
            <w:vAlign w:val="center"/>
          </w:tcPr>
          <w:p w14:paraId="0E12830E" w14:textId="1B1360B2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773A6043" w14:textId="344F0E16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</w:tcPr>
          <w:p w14:paraId="158BE2AD" w14:textId="50E3DB51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 xml:space="preserve">Շեղումներ չեն հայտնաբերված:Եթե կան շեղումներ, պարզել պատճառը </w:t>
            </w:r>
          </w:p>
        </w:tc>
      </w:tr>
      <w:tr w:rsidR="003C56F4" w:rsidRPr="003C56F4" w14:paraId="6209088A" w14:textId="77777777" w:rsidTr="003C56F4">
        <w:trPr>
          <w:trHeight w:val="285"/>
        </w:trPr>
        <w:tc>
          <w:tcPr>
            <w:tcW w:w="1097" w:type="dxa"/>
          </w:tcPr>
          <w:p w14:paraId="6E3FB63F" w14:textId="77777777" w:rsidR="003C56F4" w:rsidRPr="00B30B65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097" w:type="dxa"/>
            <w:vAlign w:val="center"/>
          </w:tcPr>
          <w:p w14:paraId="58A4807A" w14:textId="0131E282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39E1A23C" w14:textId="78DD366E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Հեպատիտ Բ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(HBsAg)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թեստ</w:t>
            </w:r>
          </w:p>
        </w:tc>
        <w:tc>
          <w:tcPr>
            <w:tcW w:w="966" w:type="dxa"/>
            <w:vAlign w:val="center"/>
          </w:tcPr>
          <w:p w14:paraId="2019B070" w14:textId="597E154B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14928DF5" w14:textId="378083CF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  <w:vAlign w:val="bottom"/>
          </w:tcPr>
          <w:p w14:paraId="555CBE9A" w14:textId="0AA2F6B4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Հեպատիտ Բ-ով վարակվածության գնահատում </w:t>
            </w:r>
          </w:p>
        </w:tc>
      </w:tr>
      <w:tr w:rsidR="003C56F4" w:rsidRPr="003C56F4" w14:paraId="5921A749" w14:textId="77777777" w:rsidTr="003C56F4">
        <w:trPr>
          <w:trHeight w:val="285"/>
        </w:trPr>
        <w:tc>
          <w:tcPr>
            <w:tcW w:w="1097" w:type="dxa"/>
          </w:tcPr>
          <w:p w14:paraId="2B0ACF8C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05A711AA" w14:textId="1F2C8D81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755D4F97" w14:textId="28DF0506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Հեպատիտ Ց (HCV) հակամարմինների հայտնաբերման թեստ</w:t>
            </w:r>
          </w:p>
        </w:tc>
        <w:tc>
          <w:tcPr>
            <w:tcW w:w="966" w:type="dxa"/>
            <w:vAlign w:val="center"/>
          </w:tcPr>
          <w:p w14:paraId="17C353D6" w14:textId="0ED08269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3B73F582" w14:textId="56519275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  <w:vAlign w:val="bottom"/>
          </w:tcPr>
          <w:p w14:paraId="6A9E61FA" w14:textId="3EBF721F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Հեպատիտ Ց-ով վարակվածության գնահատում</w:t>
            </w:r>
          </w:p>
        </w:tc>
      </w:tr>
      <w:tr w:rsidR="003C56F4" w:rsidRPr="003C56F4" w14:paraId="43DC5015" w14:textId="77777777" w:rsidTr="003C56F4">
        <w:trPr>
          <w:trHeight w:val="285"/>
        </w:trPr>
        <w:tc>
          <w:tcPr>
            <w:tcW w:w="1097" w:type="dxa"/>
          </w:tcPr>
          <w:p w14:paraId="334D4ECC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590532C6" w14:textId="0A993E5E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3779CE57" w14:textId="5189E14F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Հեպատիտ Ց, ՊՇՌ թեստ</w:t>
            </w:r>
          </w:p>
        </w:tc>
        <w:tc>
          <w:tcPr>
            <w:tcW w:w="966" w:type="dxa"/>
            <w:vAlign w:val="center"/>
          </w:tcPr>
          <w:p w14:paraId="56EDB579" w14:textId="3CF0B0B1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902" w:type="dxa"/>
            <w:vAlign w:val="center"/>
          </w:tcPr>
          <w:p w14:paraId="7857C2F0" w14:textId="1B6E4BF0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0.006</w:t>
            </w:r>
          </w:p>
        </w:tc>
        <w:tc>
          <w:tcPr>
            <w:tcW w:w="5219" w:type="dxa"/>
            <w:vAlign w:val="bottom"/>
          </w:tcPr>
          <w:p w14:paraId="59DE652D" w14:textId="2D688406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Հեպատիտ Ց-ի ախտորոշում</w:t>
            </w:r>
          </w:p>
        </w:tc>
      </w:tr>
      <w:tr w:rsidR="003C56F4" w:rsidRPr="003C56F4" w14:paraId="72C7A339" w14:textId="77777777" w:rsidTr="003C56F4">
        <w:trPr>
          <w:trHeight w:val="285"/>
        </w:trPr>
        <w:tc>
          <w:tcPr>
            <w:tcW w:w="1097" w:type="dxa"/>
          </w:tcPr>
          <w:p w14:paraId="73BD6B83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69FDF43B" w14:textId="24B0C018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4E8F7138" w14:textId="1D9D948D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ՄԻԱՎ I/II հայտնաբերման արագ ախտորոշիչ թեստ</w:t>
            </w:r>
          </w:p>
        </w:tc>
        <w:tc>
          <w:tcPr>
            <w:tcW w:w="966" w:type="dxa"/>
            <w:vAlign w:val="center"/>
          </w:tcPr>
          <w:p w14:paraId="6FF75FDC" w14:textId="4158ABC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0025780E" w14:textId="5442E5F2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  <w:t>0.02</w:t>
            </w:r>
          </w:p>
        </w:tc>
        <w:tc>
          <w:tcPr>
            <w:tcW w:w="5219" w:type="dxa"/>
            <w:vAlign w:val="bottom"/>
          </w:tcPr>
          <w:p w14:paraId="387B71C0" w14:textId="51D11289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ՄԻԱՎ-ով վարակվածության գնահատում</w:t>
            </w:r>
          </w:p>
        </w:tc>
      </w:tr>
      <w:tr w:rsidR="003C56F4" w:rsidRPr="003C56F4" w14:paraId="2BB58D98" w14:textId="77777777" w:rsidTr="003C56F4">
        <w:trPr>
          <w:trHeight w:val="295"/>
        </w:trPr>
        <w:tc>
          <w:tcPr>
            <w:tcW w:w="1097" w:type="dxa"/>
          </w:tcPr>
          <w:p w14:paraId="5A955E37" w14:textId="77777777" w:rsidR="003C56F4" w:rsidRPr="003C56F4" w:rsidRDefault="003C56F4" w:rsidP="003C56F4">
            <w:pPr>
              <w:pStyle w:val="ListParagraph"/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2393" w:type="dxa"/>
            <w:gridSpan w:val="5"/>
            <w:vAlign w:val="center"/>
          </w:tcPr>
          <w:p w14:paraId="745994FC" w14:textId="44D2806B" w:rsidR="003C56F4" w:rsidRPr="003C56F4" w:rsidRDefault="003C56F4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>Գործիքային հետազոտություններ</w:t>
            </w:r>
          </w:p>
        </w:tc>
      </w:tr>
      <w:tr w:rsidR="003C56F4" w:rsidRPr="003C56F4" w14:paraId="3E5218F3" w14:textId="77777777" w:rsidTr="003C56F4">
        <w:trPr>
          <w:trHeight w:val="278"/>
        </w:trPr>
        <w:tc>
          <w:tcPr>
            <w:tcW w:w="1097" w:type="dxa"/>
          </w:tcPr>
          <w:p w14:paraId="1A489A56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6F05D868" w14:textId="5D6E544C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4E4C05F7" w14:textId="6636341B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>Ճառագայ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 w:eastAsia="ru-RU"/>
              </w:rPr>
              <w:t>թաբանական</w:t>
            </w: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 հետազոտություն</w:t>
            </w:r>
          </w:p>
        </w:tc>
        <w:tc>
          <w:tcPr>
            <w:tcW w:w="966" w:type="dxa"/>
            <w:vAlign w:val="center"/>
          </w:tcPr>
          <w:p w14:paraId="558DBC0E" w14:textId="38B3978E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3974516F" w14:textId="18E75CB5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5219" w:type="dxa"/>
            <w:vAlign w:val="center"/>
          </w:tcPr>
          <w:p w14:paraId="3E64DBD4" w14:textId="0C7265CD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Շեղումներ հայտնաբերված  չեն </w:t>
            </w:r>
          </w:p>
        </w:tc>
      </w:tr>
      <w:tr w:rsidR="003C56F4" w:rsidRPr="003C56F4" w14:paraId="6026F28B" w14:textId="77777777" w:rsidTr="003C56F4">
        <w:trPr>
          <w:trHeight w:val="278"/>
        </w:trPr>
        <w:tc>
          <w:tcPr>
            <w:tcW w:w="1097" w:type="dxa"/>
          </w:tcPr>
          <w:p w14:paraId="630EA524" w14:textId="77777777" w:rsidR="003C56F4" w:rsidRPr="003C56F4" w:rsidRDefault="003C56F4" w:rsidP="003C56F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14:paraId="24E9911F" w14:textId="0BE8390D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  <w:t>Առկա չէ</w:t>
            </w:r>
          </w:p>
        </w:tc>
        <w:tc>
          <w:tcPr>
            <w:tcW w:w="4209" w:type="dxa"/>
            <w:vAlign w:val="center"/>
          </w:tcPr>
          <w:p w14:paraId="2F712A9A" w14:textId="78EDAA46" w:rsidR="003C56F4" w:rsidRPr="003C56F4" w:rsidRDefault="003C56F4" w:rsidP="003C56F4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Որովայնի օրգանների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ru-RU" w:eastAsia="ru-RU"/>
              </w:rPr>
              <w:t>ուլտրաձայնային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ru-RU" w:eastAsia="ru-RU"/>
              </w:rPr>
              <w:t>հետազոտություն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(ՈՒՁՀ)</w:t>
            </w:r>
          </w:p>
        </w:tc>
        <w:tc>
          <w:tcPr>
            <w:tcW w:w="966" w:type="dxa"/>
            <w:vAlign w:val="center"/>
          </w:tcPr>
          <w:p w14:paraId="237C35B5" w14:textId="1D84D8CD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902" w:type="dxa"/>
            <w:vAlign w:val="center"/>
          </w:tcPr>
          <w:p w14:paraId="6F251979" w14:textId="0C7E0299" w:rsidR="003C56F4" w:rsidRPr="003C56F4" w:rsidRDefault="003C56F4" w:rsidP="003C56F4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5219" w:type="dxa"/>
            <w:vAlign w:val="center"/>
          </w:tcPr>
          <w:p w14:paraId="7D4F240D" w14:textId="4387D903" w:rsidR="003C56F4" w:rsidRPr="003C56F4" w:rsidRDefault="003C56F4" w:rsidP="003C56F4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  <w:t xml:space="preserve">Շեղումներ հայտնաբերված  չեն </w:t>
            </w:r>
          </w:p>
        </w:tc>
      </w:tr>
    </w:tbl>
    <w:p w14:paraId="0ECBD843" w14:textId="2917CF67" w:rsidR="00F90016" w:rsidRPr="003C56F4" w:rsidRDefault="00F90016" w:rsidP="00F90016">
      <w:pPr>
        <w:spacing w:before="240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96347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C56F4" w:rsidRPr="003C56F4">
        <w:rPr>
          <w:rFonts w:ascii="GHEA Grapalat" w:hAnsi="GHEA Grapalat"/>
          <w:sz w:val="24"/>
          <w:szCs w:val="24"/>
          <w:lang w:val="hy-AM"/>
        </w:rPr>
        <w:t>9</w:t>
      </w:r>
      <w:r w:rsidRPr="003C56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56F4">
        <w:rPr>
          <w:rFonts w:ascii="GHEA Grapalat" w:hAnsi="GHEA Grapalat"/>
          <w:sz w:val="24"/>
          <w:szCs w:val="24"/>
          <w:lang w:val="hy-AM"/>
        </w:rPr>
        <w:t xml:space="preserve"> Սույն հավելվածի Ձև 3–ում սահմանված </w:t>
      </w:r>
      <w:r w:rsidRPr="003C56F4">
        <w:rPr>
          <w:rFonts w:ascii="GHEA Grapalat" w:hAnsi="GHEA Grapalat" w:cs="Arial"/>
          <w:sz w:val="24"/>
          <w:szCs w:val="24"/>
          <w:lang w:val="hy-AM"/>
        </w:rPr>
        <w:t xml:space="preserve">տրամադրվող քանակների համար նշվում է միջինացված ցուցանիշ, նկատի ունենալով տվյալ հետազոտության իրականացման հաճախականությունը։ Հաճախականության հաշվարկման միավորը պետք է լինի 0-ից 1 միջակայքում և հաշվի առնի նմանատիպ 100 դեպքերում տվյալ հետազոտության իրականացման հաճախականությունը։ </w:t>
      </w:r>
    </w:p>
    <w:p w14:paraId="3D3449AC" w14:textId="22F8EA7E" w:rsidR="00F90016" w:rsidRPr="003C56F4" w:rsidRDefault="003C56F4" w:rsidP="00F90016">
      <w:pPr>
        <w:spacing w:after="0" w:line="360" w:lineRule="auto"/>
        <w:ind w:right="-1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>10</w:t>
      </w:r>
      <w:r w:rsidR="00F90016" w:rsidRPr="003C56F4">
        <w:rPr>
          <w:rFonts w:ascii="Cambria Math" w:hAnsi="Cambria Math" w:cs="Cambria Math"/>
          <w:sz w:val="24"/>
          <w:szCs w:val="24"/>
          <w:lang w:val="hy-AM"/>
        </w:rPr>
        <w:t>․</w:t>
      </w:r>
      <w:r w:rsidR="00F90016" w:rsidRPr="003C56F4">
        <w:rPr>
          <w:rFonts w:ascii="GHEA Grapalat" w:hAnsi="GHEA Grapalat"/>
          <w:sz w:val="24"/>
          <w:szCs w:val="24"/>
          <w:lang w:val="hy-AM"/>
        </w:rPr>
        <w:t xml:space="preserve"> Օգտագործվող դեղերի ցանկը սահմանվում է ըստ Ձև 4–ի (անհրաժեշտության դեպքում նշել հիվանդության փուլերը)</w:t>
      </w:r>
      <w:r w:rsidR="00F90016" w:rsidRPr="003C56F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DCD554" w14:textId="77777777" w:rsidR="006D143D" w:rsidRPr="00B50AC5" w:rsidRDefault="004165C7" w:rsidP="00AB75D7">
      <w:pPr>
        <w:ind w:left="1440"/>
        <w:jc w:val="right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hAnsi="GHEA Grapalat" w:cs="Arial"/>
          <w:b/>
          <w:lang w:val="hy-AM"/>
        </w:rPr>
        <w:t>Ձև 4</w:t>
      </w:r>
    </w:p>
    <w:p w14:paraId="0979E349" w14:textId="79AD290E" w:rsidR="006D143D" w:rsidRPr="00B50AC5" w:rsidRDefault="006D143D" w:rsidP="00AB75D7">
      <w:pPr>
        <w:pStyle w:val="ListParagraph"/>
        <w:spacing w:after="0" w:line="276" w:lineRule="auto"/>
        <w:ind w:left="1440"/>
        <w:jc w:val="center"/>
        <w:rPr>
          <w:rFonts w:ascii="GHEA Grapalat" w:eastAsia="Times New Roman" w:hAnsi="GHEA Grapalat" w:cs="Calibri"/>
          <w:b/>
          <w:color w:val="000000"/>
          <w:lang w:val="hy-AM" w:eastAsia="ru-RU"/>
        </w:rPr>
      </w:pPr>
    </w:p>
    <w:tbl>
      <w:tblPr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700"/>
        <w:gridCol w:w="2944"/>
        <w:gridCol w:w="17"/>
        <w:gridCol w:w="13"/>
        <w:gridCol w:w="1255"/>
        <w:gridCol w:w="22"/>
        <w:gridCol w:w="1687"/>
        <w:gridCol w:w="20"/>
        <w:gridCol w:w="1509"/>
        <w:gridCol w:w="20"/>
        <w:gridCol w:w="30"/>
        <w:gridCol w:w="2099"/>
        <w:gridCol w:w="26"/>
        <w:gridCol w:w="2408"/>
      </w:tblGrid>
      <w:tr w:rsidR="00DE39AE" w:rsidRPr="00855FC0" w14:paraId="208A9B7A" w14:textId="77777777" w:rsidTr="003C56F4">
        <w:trPr>
          <w:cantSplit/>
          <w:trHeight w:val="20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8DA" w14:textId="67708288" w:rsidR="00DE39AE" w:rsidRPr="00DE39AE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Հ/Հ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56BB" w14:textId="7A9712AD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Դեղի հապավում</w:t>
            </w:r>
          </w:p>
        </w:tc>
        <w:tc>
          <w:tcPr>
            <w:tcW w:w="2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899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 xml:space="preserve">Անվանում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1861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Չափման միավոր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43100F" w14:textId="77777777" w:rsidR="00DE39AE" w:rsidRPr="00B50AC5" w:rsidRDefault="00DE39AE" w:rsidP="00AB75D7">
            <w:pPr>
              <w:spacing w:after="0" w:line="240" w:lineRule="auto"/>
              <w:ind w:left="115" w:right="115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Միջինացված ցուցանիշ` տրամադրման հաճախականու-թյուն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12F3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Միջին օրական չափաքանակ (ըստ քաշի)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5BA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Բուժման կուրսի միջին ժամանակա</w:t>
            </w:r>
          </w:p>
          <w:p w14:paraId="6A51350D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հատված (ամիս)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4AD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Դեղերի ընդունման օրերի թիվ շաբաթվա ընթացքում</w:t>
            </w:r>
          </w:p>
        </w:tc>
      </w:tr>
      <w:tr w:rsidR="00DE39AE" w:rsidRPr="008614A1" w14:paraId="1A328942" w14:textId="77777777" w:rsidTr="003C56F4">
        <w:trPr>
          <w:trHeight w:val="372"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DDE" w14:textId="768CFC5D" w:rsidR="00DE39AE" w:rsidRPr="00B50AC5" w:rsidRDefault="00DE39AE" w:rsidP="00AB75D7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</w:pPr>
            <w:r w:rsidRPr="00DE39AE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>Հակատուբերկուլոզային դեղեր</w:t>
            </w:r>
          </w:p>
        </w:tc>
      </w:tr>
      <w:tr w:rsidR="00DE39AE" w:rsidRPr="00B50AC5" w14:paraId="025EAA22" w14:textId="77777777" w:rsidTr="003C56F4">
        <w:trPr>
          <w:trHeight w:val="4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FC1D" w14:textId="6DE944BD" w:rsidR="00DE39AE" w:rsidRPr="00DE39AE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1069"/>
              <w:rPr>
                <w:rFonts w:ascii="GHEA Grapalat" w:eastAsia="Times New Roman" w:hAnsi="GHEA Grapalat" w:cs="Calibri"/>
                <w:lang w:val="ru-RU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10C9" w14:textId="1FDAA5C3" w:rsidR="00DE39AE" w:rsidRPr="00DE39AE" w:rsidRDefault="00DE39AE" w:rsidP="00DE39AE">
            <w:pPr>
              <w:spacing w:after="0" w:line="240" w:lineRule="auto"/>
              <w:ind w:left="1890"/>
              <w:rPr>
                <w:rFonts w:ascii="GHEA Grapalat" w:eastAsia="Times New Roman" w:hAnsi="GHEA Grapalat" w:cs="Calibri"/>
                <w:lang w:eastAsia="ru-RU"/>
              </w:rPr>
            </w:pPr>
          </w:p>
          <w:p w14:paraId="12D83CB0" w14:textId="1792F2EC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H 100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F239" w14:textId="77777777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Իզոնիազիդ 100 մգ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36B7" w14:textId="4022FF43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Cs/>
                <w:lang w:val="hy-AM" w:eastAsia="ru-RU"/>
              </w:rPr>
              <w:t>դ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եղահատ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0BA7" w14:textId="6AE4D9B3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0,</w:t>
            </w: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9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0B90" w14:textId="67500710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0.5- 5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83EF" w14:textId="7893393D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3-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B99" w14:textId="2B0FAF98" w:rsidR="00DE39AE" w:rsidRPr="00B50AC5" w:rsidRDefault="00DE39AE" w:rsidP="00DE39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7 օր</w:t>
            </w: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/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շաբաթական մեկ անգամ</w:t>
            </w:r>
          </w:p>
        </w:tc>
      </w:tr>
      <w:tr w:rsidR="00DE39AE" w:rsidRPr="00B50AC5" w14:paraId="0B7C715C" w14:textId="77777777" w:rsidTr="003C56F4">
        <w:trPr>
          <w:trHeight w:val="4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F88" w14:textId="21EC61DC" w:rsidR="00DE39AE" w:rsidRPr="00DE39AE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1069"/>
              <w:rPr>
                <w:rFonts w:ascii="GHEA Grapalat" w:eastAsia="Times New Roman" w:hAnsi="GHEA Grapalat" w:cs="Calibri"/>
                <w:bCs/>
                <w:lang w:val="ru-RU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26C" w14:textId="4075A8F2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R 150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038E" w14:textId="43C6E98B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Ռիֆամպիցին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</w:t>
            </w: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150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 xml:space="preserve"> մգ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5534" w14:textId="7D7FACF9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Cs/>
                <w:lang w:val="hy-AM" w:eastAsia="ru-RU"/>
              </w:rPr>
              <w:t>դ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եղահատ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4DAF" w14:textId="60AE4B67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0958" w14:textId="1A6755FA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0.5-2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357C" w14:textId="095A12B8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9895" w14:textId="618214B3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7 օր</w:t>
            </w:r>
          </w:p>
        </w:tc>
      </w:tr>
      <w:tr w:rsidR="00DE39AE" w:rsidRPr="00B50AC5" w14:paraId="281277CE" w14:textId="77777777" w:rsidTr="003C56F4">
        <w:trPr>
          <w:trHeight w:val="4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598F" w14:textId="71816DF3" w:rsidR="00DE39AE" w:rsidRPr="00DE39AE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1069"/>
              <w:rPr>
                <w:rFonts w:ascii="GHEA Grapalat" w:eastAsia="Times New Roman" w:hAnsi="GHEA Grapalat" w:cs="Calibri"/>
                <w:bCs/>
                <w:lang w:val="ru-RU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BBE" w14:textId="16C99986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HR 50/75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5DC1" w14:textId="77777777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Իզոնիազիդ 50մգ</w:t>
            </w:r>
          </w:p>
          <w:p w14:paraId="2C28E9C4" w14:textId="46F6AC8D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Ռիֆամպիցին 75մգ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CD3DA" w14:textId="10FABE6D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Cs/>
                <w:lang w:val="hy-AM" w:eastAsia="ru-RU"/>
              </w:rPr>
              <w:t>դ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եղահատ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2F41" w14:textId="1EBA0D1D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C161" w14:textId="45620358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1-2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8E50" w14:textId="35CAE6DA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785E" w14:textId="5660F9C9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7 օր</w:t>
            </w:r>
          </w:p>
        </w:tc>
      </w:tr>
      <w:tr w:rsidR="00DE39AE" w:rsidRPr="00B50AC5" w14:paraId="5E1D3637" w14:textId="77777777" w:rsidTr="003C56F4">
        <w:trPr>
          <w:trHeight w:val="4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E87" w14:textId="631DBFE7" w:rsidR="00DE39AE" w:rsidRPr="00DE39AE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1069"/>
              <w:rPr>
                <w:rFonts w:ascii="GHEA Grapalat" w:eastAsia="Times New Roman" w:hAnsi="GHEA Grapalat" w:cs="Calibr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4307" w14:textId="345F9F69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HR 75/150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9AD6" w14:textId="77777777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Իզոնիազիդ 75մգ</w:t>
            </w:r>
          </w:p>
          <w:p w14:paraId="2C445A4E" w14:textId="0D16C8E8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Ռիֆամպիցին 150մգ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9385A" w14:textId="7B3C24DF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Cs/>
                <w:lang w:val="hy-AM" w:eastAsia="ru-RU"/>
              </w:rPr>
              <w:t>դ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եղահատ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C29D" w14:textId="25E5A0AF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ECC9" w14:textId="2F21912B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1-2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1964A" w14:textId="440716EE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625C" w14:textId="791AED51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7 օր</w:t>
            </w:r>
          </w:p>
        </w:tc>
      </w:tr>
      <w:tr w:rsidR="00DE39AE" w:rsidRPr="00B50AC5" w14:paraId="4B7ADB60" w14:textId="77777777" w:rsidTr="003C56F4">
        <w:trPr>
          <w:trHeight w:val="5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12A5" w14:textId="67B1F4FC" w:rsidR="00DE39AE" w:rsidRPr="00DE39AE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928"/>
              <w:rPr>
                <w:rFonts w:ascii="GHEA Grapalat" w:eastAsia="Times New Roman" w:hAnsi="GHEA Grapalat" w:cs="Calibri"/>
                <w:bCs/>
                <w:lang w:val="ru-RU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224" w14:textId="0BFE43A7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P 150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45D0" w14:textId="6B99E05D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Ռիֆապենտին 150</w:t>
            </w: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 xml:space="preserve"> 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մգ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B393F" w14:textId="4D5F6AFC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Cs/>
                <w:lang w:val="hy-AM" w:eastAsia="ru-RU"/>
              </w:rPr>
              <w:t>դ</w:t>
            </w: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եղահատ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FA08" w14:textId="7EFE40DE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0.2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DE11" w14:textId="03177F13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2-3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F3839" w14:textId="0AB04A28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CBAE6" w14:textId="31BE6B48" w:rsidR="00DE39AE" w:rsidRPr="00B50AC5" w:rsidRDefault="00DE39AE" w:rsidP="008F0A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շաբաթական մեկ անգամ</w:t>
            </w:r>
          </w:p>
        </w:tc>
      </w:tr>
      <w:tr w:rsidR="00DE39AE" w:rsidRPr="00B50AC5" w14:paraId="765A5BF8" w14:textId="77777777" w:rsidTr="003C56F4">
        <w:trPr>
          <w:trHeight w:val="525"/>
        </w:trPr>
        <w:tc>
          <w:tcPr>
            <w:tcW w:w="14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3F12" w14:textId="30B60787" w:rsidR="00DE39AE" w:rsidRPr="00B50AC5" w:rsidRDefault="00DE39AE" w:rsidP="00AB75D7">
            <w:pPr>
              <w:spacing w:after="0" w:line="240" w:lineRule="auto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hAnsi="GHEA Grapalat"/>
                <w:b/>
              </w:rPr>
              <w:t>Ա</w:t>
            </w:r>
            <w:r w:rsidRPr="00B50AC5">
              <w:rPr>
                <w:rFonts w:ascii="GHEA Grapalat" w:hAnsi="GHEA Grapalat"/>
                <w:b/>
                <w:lang w:val="hy-AM"/>
              </w:rPr>
              <w:t>խտանշանային</w:t>
            </w:r>
            <w:r w:rsidRPr="00B50AC5">
              <w:rPr>
                <w:rFonts w:ascii="GHEA Grapalat" w:hAnsi="GHEA Grapalat"/>
                <w:b/>
              </w:rPr>
              <w:t xml:space="preserve"> </w:t>
            </w:r>
            <w:r w:rsidRPr="00B50AC5">
              <w:rPr>
                <w:rFonts w:ascii="GHEA Grapalat" w:hAnsi="GHEA Grapalat"/>
                <w:b/>
                <w:lang w:val="hy-AM"/>
              </w:rPr>
              <w:t xml:space="preserve">բուժում, </w:t>
            </w:r>
            <w:r w:rsidRPr="00B50AC5">
              <w:rPr>
                <w:rFonts w:ascii="GHEA Grapalat" w:eastAsia="Times New Roman" w:hAnsi="GHEA Grapalat" w:cs="Calibri"/>
                <w:b/>
                <w:bCs/>
                <w:lang w:val="hy-AM" w:eastAsia="ru-RU"/>
              </w:rPr>
              <w:t xml:space="preserve"> ուղեկցող հիվանդությունների բուժման դեղեր</w:t>
            </w:r>
          </w:p>
        </w:tc>
      </w:tr>
      <w:tr w:rsidR="00DE39AE" w:rsidRPr="00B50AC5" w14:paraId="04FA798F" w14:textId="77777777" w:rsidTr="003C56F4">
        <w:trPr>
          <w:trHeight w:val="52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449" w14:textId="4131412E" w:rsidR="00DE39AE" w:rsidRPr="003C56F4" w:rsidRDefault="00DE39AE" w:rsidP="00DE39A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hanging="928"/>
              <w:rPr>
                <w:rFonts w:ascii="GHEA Grapalat" w:hAnsi="GHEA Grapalat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53A" w14:textId="06E1DA3C" w:rsidR="00DE39AE" w:rsidRPr="00DE39AE" w:rsidRDefault="00DE39AE" w:rsidP="00DE39AE">
            <w:pPr>
              <w:spacing w:after="0" w:line="240" w:lineRule="auto"/>
              <w:jc w:val="center"/>
              <w:rPr>
                <w:rFonts w:ascii="GHEA Grapalat" w:hAnsi="GHEA Grapalat" w:cs="Calibri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-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B6D" w14:textId="3D7334A0" w:rsidR="00DE39AE" w:rsidRPr="00B50AC5" w:rsidRDefault="00DE39AE" w:rsidP="00AB75D7">
            <w:pPr>
              <w:spacing w:after="0" w:line="240" w:lineRule="auto"/>
              <w:rPr>
                <w:rFonts w:ascii="GHEA Grapalat" w:hAnsi="GHEA Grapalat" w:cs="Calibri"/>
              </w:rPr>
            </w:pPr>
            <w:r w:rsidRPr="00DE39AE">
              <w:rPr>
                <w:rFonts w:ascii="GHEA Grapalat" w:hAnsi="GHEA Grapalat" w:cs="Calibri"/>
              </w:rPr>
              <w:t>Պիրիդօքսին 50մգ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EBD9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Դեղահատ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C95D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val="hy-AM"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val="hy-AM" w:eastAsia="ru-RU"/>
              </w:rPr>
              <w:t>1,0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ACFB" w14:textId="77777777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FBDD" w14:textId="01D9E738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3-6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2FAB" w14:textId="52AC6B49" w:rsidR="00DE39AE" w:rsidRPr="00B50AC5" w:rsidRDefault="00DE39AE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lang w:eastAsia="ru-RU"/>
              </w:rPr>
            </w:pPr>
            <w:r w:rsidRPr="00B50AC5">
              <w:rPr>
                <w:rFonts w:ascii="GHEA Grapalat" w:eastAsia="Times New Roman" w:hAnsi="GHEA Grapalat" w:cs="Calibri"/>
                <w:bCs/>
                <w:lang w:eastAsia="ru-RU"/>
              </w:rPr>
              <w:t>6-7</w:t>
            </w:r>
          </w:p>
        </w:tc>
      </w:tr>
    </w:tbl>
    <w:p w14:paraId="40CBC672" w14:textId="77777777" w:rsidR="007D5AA6" w:rsidRPr="00B50AC5" w:rsidRDefault="007D5AA6" w:rsidP="00AB75D7">
      <w:pPr>
        <w:pStyle w:val="ListParagraph"/>
        <w:spacing w:after="0" w:line="276" w:lineRule="auto"/>
        <w:ind w:left="1440"/>
        <w:jc w:val="center"/>
        <w:rPr>
          <w:rFonts w:ascii="GHEA Grapalat" w:eastAsia="Times New Roman" w:hAnsi="GHEA Grapalat" w:cs="Calibri"/>
          <w:b/>
          <w:color w:val="000000"/>
          <w:lang w:val="hy-AM" w:eastAsia="ru-RU"/>
        </w:rPr>
      </w:pPr>
    </w:p>
    <w:p w14:paraId="37BD0D95" w14:textId="30EF0295" w:rsidR="008614A1" w:rsidRPr="003C56F4" w:rsidRDefault="00F90016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E96347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C56F4" w:rsidRPr="003C56F4">
        <w:rPr>
          <w:rFonts w:ascii="GHEA Grapalat" w:hAnsi="GHEA Grapalat"/>
          <w:sz w:val="24"/>
          <w:szCs w:val="24"/>
          <w:lang w:val="hy-AM"/>
        </w:rPr>
        <w:t>11</w:t>
      </w:r>
      <w:r w:rsidRPr="003C56F4">
        <w:rPr>
          <w:rFonts w:ascii="Cambria Math" w:hAnsi="Cambria Math" w:cs="Cambria Math"/>
          <w:sz w:val="24"/>
          <w:szCs w:val="24"/>
          <w:lang w:val="hy-AM"/>
        </w:rPr>
        <w:t>․</w:t>
      </w:r>
      <w:r w:rsidRPr="003C56F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DE39AE" w:rsidRPr="003C56F4">
        <w:rPr>
          <w:rFonts w:ascii="GHEA Grapalat" w:hAnsi="GHEA Grapalat" w:cs="Cambria Math"/>
          <w:sz w:val="24"/>
          <w:szCs w:val="24"/>
          <w:lang w:val="hy-AM"/>
        </w:rPr>
        <w:t>Սույն հավելվածի Ձև 4–ում սահմանված հ</w:t>
      </w:r>
      <w:r w:rsidR="008614A1" w:rsidRPr="003C56F4">
        <w:rPr>
          <w:rFonts w:ascii="GHEA Grapalat" w:hAnsi="GHEA Grapalat" w:cs="Cambria Math"/>
          <w:sz w:val="24"/>
          <w:szCs w:val="24"/>
          <w:lang w:val="hy-AM"/>
        </w:rPr>
        <w:t>ակատուբերկուլոզային դեղեր (բոլոր դեղերի դեղաչափերը որոշվում են ըստ կգ/քաշի` ԱՀԿ-ի ստանդարտներին համապատասխան).</w:t>
      </w:r>
    </w:p>
    <w:p w14:paraId="36C12003" w14:textId="3DBFBB66" w:rsidR="008614A1" w:rsidRPr="003C56F4" w:rsidRDefault="008614A1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>1) 6H ռեժիմի դեպքում՝ մինչ 10 տարեկանը, միջինում 10 մկ/կգ/օրեկան, 10 տարեկան և բարձ տարիքի դեպքում՝  միջինում 5 մգ/կգ/օրեկան.</w:t>
      </w:r>
    </w:p>
    <w:p w14:paraId="577B9B91" w14:textId="262750CD" w:rsidR="008614A1" w:rsidRPr="003C56F4" w:rsidRDefault="008614A1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>2) 3HP ռեժիմի դեպքում` աղյուսակը ստորև: Բուժումը տրվում է 2 տարեկան և բարձր տարիքի դեպքում, առնվազն 10 կգ քաշի դեպքում: 34 կգ և ավել քաշի դեպքում օգտագործել մեծահասակների համար նախատեսված աղուսյակը.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2392"/>
        <w:gridCol w:w="2392"/>
        <w:gridCol w:w="2392"/>
        <w:gridCol w:w="2392"/>
        <w:gridCol w:w="2393"/>
        <w:gridCol w:w="1926"/>
      </w:tblGrid>
      <w:tr w:rsidR="008614A1" w:rsidRPr="003C56F4" w14:paraId="608852D1" w14:textId="77777777" w:rsidTr="00DE39AE">
        <w:tc>
          <w:tcPr>
            <w:tcW w:w="13887" w:type="dxa"/>
            <w:gridSpan w:val="6"/>
          </w:tcPr>
          <w:p w14:paraId="41010E24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2 - 14տարեկան </w:t>
            </w:r>
          </w:p>
        </w:tc>
      </w:tr>
      <w:tr w:rsidR="008614A1" w:rsidRPr="003C56F4" w14:paraId="3A1CBFD6" w14:textId="77777777" w:rsidTr="00DE39AE">
        <w:tc>
          <w:tcPr>
            <w:tcW w:w="2392" w:type="dxa"/>
          </w:tcPr>
          <w:p w14:paraId="68DE10A9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lastRenderedPageBreak/>
              <w:t>Քաշ</w:t>
            </w:r>
          </w:p>
        </w:tc>
        <w:tc>
          <w:tcPr>
            <w:tcW w:w="2392" w:type="dxa"/>
          </w:tcPr>
          <w:p w14:paraId="2A322373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10 – 15 կգ</w:t>
            </w:r>
          </w:p>
        </w:tc>
        <w:tc>
          <w:tcPr>
            <w:tcW w:w="2392" w:type="dxa"/>
          </w:tcPr>
          <w:p w14:paraId="6086B683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 xml:space="preserve"> 16 – 23 կգ</w:t>
            </w:r>
          </w:p>
        </w:tc>
        <w:tc>
          <w:tcPr>
            <w:tcW w:w="2392" w:type="dxa"/>
          </w:tcPr>
          <w:p w14:paraId="2B14A139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24 – 30 կգ</w:t>
            </w:r>
          </w:p>
        </w:tc>
        <w:tc>
          <w:tcPr>
            <w:tcW w:w="2393" w:type="dxa"/>
          </w:tcPr>
          <w:p w14:paraId="5179D52F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31 – 34 կգ</w:t>
            </w:r>
          </w:p>
        </w:tc>
        <w:tc>
          <w:tcPr>
            <w:tcW w:w="1926" w:type="dxa"/>
          </w:tcPr>
          <w:p w14:paraId="49F43EDF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&gt; 34 կգ</w:t>
            </w:r>
          </w:p>
        </w:tc>
      </w:tr>
      <w:tr w:rsidR="008614A1" w:rsidRPr="003C56F4" w14:paraId="7FF6E556" w14:textId="77777777" w:rsidTr="00DE39AE">
        <w:tc>
          <w:tcPr>
            <w:tcW w:w="2392" w:type="dxa"/>
          </w:tcPr>
          <w:p w14:paraId="7BF851E0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Իզոնիազիդ 100* մգ դեղահատերի քանակ</w:t>
            </w:r>
          </w:p>
        </w:tc>
        <w:tc>
          <w:tcPr>
            <w:tcW w:w="2392" w:type="dxa"/>
          </w:tcPr>
          <w:p w14:paraId="0069F61D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392" w:type="dxa"/>
          </w:tcPr>
          <w:p w14:paraId="7C137433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392" w:type="dxa"/>
          </w:tcPr>
          <w:p w14:paraId="115DB52E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393" w:type="dxa"/>
          </w:tcPr>
          <w:p w14:paraId="52FC4FBF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926" w:type="dxa"/>
          </w:tcPr>
          <w:p w14:paraId="348C2868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7</w:t>
            </w:r>
          </w:p>
        </w:tc>
      </w:tr>
      <w:tr w:rsidR="008614A1" w:rsidRPr="003C56F4" w14:paraId="5BF84306" w14:textId="77777777" w:rsidTr="00DE39AE">
        <w:tc>
          <w:tcPr>
            <w:tcW w:w="2392" w:type="dxa"/>
          </w:tcPr>
          <w:p w14:paraId="3DC8FFFD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Ռիֆապենտին 150 մգ դեղահատերի քանակ</w:t>
            </w:r>
          </w:p>
        </w:tc>
        <w:tc>
          <w:tcPr>
            <w:tcW w:w="2392" w:type="dxa"/>
          </w:tcPr>
          <w:p w14:paraId="63116E8A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392" w:type="dxa"/>
          </w:tcPr>
          <w:p w14:paraId="2ECA97F9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392" w:type="dxa"/>
          </w:tcPr>
          <w:p w14:paraId="2D34FE41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393" w:type="dxa"/>
          </w:tcPr>
          <w:p w14:paraId="650AD270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926" w:type="dxa"/>
          </w:tcPr>
          <w:p w14:paraId="6B37EFD2" w14:textId="77777777" w:rsidR="008614A1" w:rsidRPr="003C56F4" w:rsidRDefault="008614A1" w:rsidP="00AB7B22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Cs/>
                <w:sz w:val="24"/>
                <w:szCs w:val="24"/>
                <w:lang w:val="hy-AM" w:eastAsia="ru-RU"/>
              </w:rPr>
              <w:t>5</w:t>
            </w:r>
          </w:p>
        </w:tc>
      </w:tr>
    </w:tbl>
    <w:p w14:paraId="143AE1AC" w14:textId="061F0880" w:rsidR="008614A1" w:rsidRPr="003C56F4" w:rsidRDefault="008614A1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>3) *Կարող է փոխարինվել 300 մգ իզոնիազիդի դեղահատերով</w:t>
      </w:r>
      <w:r w:rsidR="00DE39AE" w:rsidRPr="003C56F4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6A8A09BB" w14:textId="290B4293" w:rsidR="008614A1" w:rsidRPr="003C56F4" w:rsidRDefault="008614A1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 xml:space="preserve">4) 3HR ռեժիմի դեպքում` իզոնիազիդի դոզան հաշվարկվում է մինչ 10 տարեկանը, միջինում 10 մկ/կգ/օրեկան, 10 տարեկան և բարձ տարիքի դեպքում՝  միջինում 5 մգ/կգ/օրեկան: Բուժումը սկելու պահին երեխան պետք է առնվազն լինի 4 կգ: Ռիֆամպիցինի դոզան հաշվարկվում է  մինչ 10 տարեկանը, միջինում 15 մկ/կգ/օրեկան, 10 տարեկան և բարձ տարիքի դեպքում՝  միջինում 10 մգ/կգ/օրեկան: Բուժումը սկելու պահին երեխան պետք է առնվազն լինի 4 կգ.                                                                  </w:t>
      </w:r>
    </w:p>
    <w:p w14:paraId="53F205C2" w14:textId="33A70CDE" w:rsidR="008614A1" w:rsidRPr="003C56F4" w:rsidRDefault="008614A1" w:rsidP="008614A1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C56F4">
        <w:rPr>
          <w:rFonts w:ascii="GHEA Grapalat" w:hAnsi="GHEA Grapalat" w:cs="Cambria Math"/>
          <w:sz w:val="24"/>
          <w:szCs w:val="24"/>
          <w:lang w:val="hy-AM"/>
        </w:rPr>
        <w:t xml:space="preserve">5) 4R ռեժիմի դեպքում` Ռիֆամպիցինի դոզան հաշվարկվում է  մինչ 10 տարեկանը, միջինում 15 մկ/կգ/օրեկան, 10 տարեկան և բարձ տարիքի դեպքում՝  միջինում 10 մգ/կգ/օրեկան:                                                                  </w:t>
      </w:r>
    </w:p>
    <w:p w14:paraId="725AEE99" w14:textId="0A29708B" w:rsidR="00F90016" w:rsidRPr="003C56F4" w:rsidRDefault="00DE39AE" w:rsidP="00F90016">
      <w:pPr>
        <w:tabs>
          <w:tab w:val="left" w:pos="13466"/>
        </w:tabs>
        <w:spacing w:after="0" w:line="360" w:lineRule="auto"/>
        <w:ind w:right="-181"/>
        <w:jc w:val="both"/>
        <w:rPr>
          <w:rFonts w:ascii="GHEA Grapalat" w:hAnsi="GHEA Grapalat"/>
          <w:sz w:val="24"/>
          <w:szCs w:val="24"/>
          <w:lang w:val="hy-AM"/>
        </w:rPr>
      </w:pPr>
      <w:r w:rsidRPr="003C56F4">
        <w:rPr>
          <w:rFonts w:ascii="GHEA Grapalat" w:hAnsi="GHEA Grapalat"/>
          <w:sz w:val="24"/>
          <w:szCs w:val="24"/>
          <w:lang w:val="hy-AM"/>
        </w:rPr>
        <w:t>1</w:t>
      </w:r>
      <w:r w:rsidR="003C56F4" w:rsidRPr="003C56F4">
        <w:rPr>
          <w:rFonts w:ascii="GHEA Grapalat" w:hAnsi="GHEA Grapalat"/>
          <w:sz w:val="24"/>
          <w:szCs w:val="24"/>
          <w:lang w:val="hy-AM"/>
        </w:rPr>
        <w:t>2</w:t>
      </w:r>
      <w:r w:rsidRPr="003C56F4">
        <w:rPr>
          <w:rFonts w:ascii="GHEA Grapalat" w:hAnsi="GHEA Grapalat"/>
          <w:sz w:val="24"/>
          <w:szCs w:val="24"/>
          <w:lang w:val="hy-AM"/>
        </w:rPr>
        <w:t xml:space="preserve">. </w:t>
      </w:r>
      <w:r w:rsidR="00F90016" w:rsidRPr="003C56F4">
        <w:rPr>
          <w:rFonts w:ascii="GHEA Grapalat" w:hAnsi="GHEA Grapalat"/>
          <w:sz w:val="24"/>
          <w:szCs w:val="24"/>
          <w:lang w:val="hy-AM"/>
        </w:rPr>
        <w:t>Սույն հավելվածի Ձև 4–ում սահմանված`</w:t>
      </w:r>
    </w:p>
    <w:p w14:paraId="25805015" w14:textId="77777777" w:rsidR="00F90016" w:rsidRPr="003C56F4" w:rsidRDefault="00F90016" w:rsidP="00F90016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C56F4">
        <w:rPr>
          <w:rFonts w:ascii="GHEA Grapalat" w:hAnsi="GHEA Grapalat" w:cs="Arial"/>
          <w:sz w:val="24"/>
          <w:szCs w:val="24"/>
          <w:lang w:val="hy-AM"/>
        </w:rPr>
        <w:t xml:space="preserve">        1) նշանակված դեղի նկատմամբ անհատական անտանելիության դեպքում ավագ բուժաշխատողը իրավասու է նշանակել այլ դեղ.</w:t>
      </w:r>
    </w:p>
    <w:p w14:paraId="468CE9B4" w14:textId="77777777" w:rsidR="00F90016" w:rsidRPr="003C56F4" w:rsidRDefault="00F90016" w:rsidP="00F90016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C56F4">
        <w:rPr>
          <w:rFonts w:ascii="GHEA Grapalat" w:hAnsi="GHEA Grapalat" w:cs="Arial"/>
          <w:sz w:val="24"/>
          <w:szCs w:val="24"/>
          <w:lang w:val="hy-AM"/>
        </w:rPr>
        <w:t xml:space="preserve">        2) տրամադրվող քանակների համար նշվում է միջինացված ցուցանիշ, նկատի ունենալով տվյալ դեղի օգտագործման հաճախականությունը։ Հաճախականության հաշվարկման միավորը պետք է լինի 0-ից 1 միջակայքում և հաշվի առնի նմանատիպ 100 դեպքերում տվյալ դեղի օգտագործման հաճախականությունը</w:t>
      </w:r>
      <w:r w:rsidRPr="003C56F4">
        <w:rPr>
          <w:rFonts w:ascii="GHEA Grapalat" w:hAnsi="GHEA Grapalat"/>
          <w:sz w:val="24"/>
          <w:szCs w:val="24"/>
          <w:lang w:val="hy-AM"/>
        </w:rPr>
        <w:t>:</w:t>
      </w:r>
    </w:p>
    <w:p w14:paraId="70CA8AD5" w14:textId="10D451F4" w:rsidR="00011AA5" w:rsidRPr="003C56F4" w:rsidRDefault="00DE39AE" w:rsidP="004A4CA5">
      <w:pPr>
        <w:spacing w:after="0" w:line="360" w:lineRule="auto"/>
        <w:ind w:right="-1" w:firstLine="72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3C56F4">
        <w:rPr>
          <w:rFonts w:ascii="GHEA Grapalat" w:hAnsi="GHEA Grapalat"/>
          <w:sz w:val="24"/>
          <w:szCs w:val="24"/>
          <w:lang w:val="hy-AM"/>
        </w:rPr>
        <w:t>1</w:t>
      </w:r>
      <w:r w:rsidR="003C56F4" w:rsidRPr="003C56F4">
        <w:rPr>
          <w:rFonts w:ascii="GHEA Grapalat" w:hAnsi="GHEA Grapalat"/>
          <w:sz w:val="24"/>
          <w:szCs w:val="24"/>
          <w:lang w:val="hy-AM"/>
        </w:rPr>
        <w:t>3</w:t>
      </w:r>
      <w:r w:rsidR="00F90016" w:rsidRPr="003C56F4">
        <w:rPr>
          <w:rFonts w:ascii="GHEA Grapalat" w:hAnsi="GHEA Grapalat"/>
          <w:sz w:val="24"/>
          <w:szCs w:val="24"/>
          <w:lang w:val="hy-AM"/>
        </w:rPr>
        <w:t xml:space="preserve">. Բուժական այլ միջոցառումներ սահմանվում են Ձև 5–ում 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(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անհրաժեշտության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դեպքում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անհրաժեշտ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է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նշել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հիվանդության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 </w:t>
      </w:r>
      <w:r w:rsidR="00F90016" w:rsidRPr="003C56F4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փուլերը</w:t>
      </w:r>
      <w:r w:rsidR="00F90016" w:rsidRPr="003C56F4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)</w:t>
      </w:r>
      <w:r w:rsidR="00F90016" w:rsidRPr="003C56F4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2B1D9B4" w14:textId="77777777" w:rsidR="00011AA5" w:rsidRPr="00B50AC5" w:rsidRDefault="00011AA5" w:rsidP="00AB75D7">
      <w:pPr>
        <w:pStyle w:val="ListParagraph"/>
        <w:spacing w:after="0" w:line="276" w:lineRule="auto"/>
        <w:ind w:left="1440"/>
        <w:jc w:val="center"/>
        <w:rPr>
          <w:rFonts w:ascii="GHEA Grapalat" w:hAnsi="GHEA Grapalat" w:cs="Arial"/>
          <w:b/>
          <w:lang w:val="hy-AM"/>
        </w:rPr>
      </w:pPr>
    </w:p>
    <w:p w14:paraId="1D349257" w14:textId="62FCD983" w:rsidR="00011AA5" w:rsidRPr="00B50AC5" w:rsidRDefault="00011AA5" w:rsidP="00011AA5">
      <w:pPr>
        <w:ind w:right="-1"/>
        <w:jc w:val="right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hAnsi="GHEA Grapalat" w:cs="Arial"/>
          <w:b/>
          <w:lang w:val="hy-AM"/>
        </w:rPr>
        <w:t xml:space="preserve">Ձև </w:t>
      </w:r>
      <w:r>
        <w:rPr>
          <w:rFonts w:ascii="GHEA Grapalat" w:hAnsi="GHEA Grapalat" w:cs="Arial"/>
          <w:b/>
          <w:lang w:val="hy-AM"/>
        </w:rPr>
        <w:t>5</w:t>
      </w:r>
    </w:p>
    <w:p w14:paraId="4FDF9AC8" w14:textId="23EEB55B" w:rsidR="006D143D" w:rsidRPr="00B50AC5" w:rsidRDefault="006D143D" w:rsidP="00AB75D7">
      <w:pPr>
        <w:pStyle w:val="ListParagraph"/>
        <w:spacing w:after="0" w:line="276" w:lineRule="auto"/>
        <w:ind w:left="1440"/>
        <w:jc w:val="center"/>
        <w:rPr>
          <w:rFonts w:ascii="GHEA Grapalat" w:hAnsi="GHEA Grapalat" w:cs="Arial"/>
          <w:b/>
          <w:lang w:val="hy-AM"/>
        </w:rPr>
      </w:pPr>
    </w:p>
    <w:tbl>
      <w:tblPr>
        <w:tblW w:w="13462" w:type="dxa"/>
        <w:tblInd w:w="113" w:type="dxa"/>
        <w:tblLook w:val="04A0" w:firstRow="1" w:lastRow="0" w:firstColumn="1" w:lastColumn="0" w:noHBand="0" w:noVBand="1"/>
      </w:tblPr>
      <w:tblGrid>
        <w:gridCol w:w="988"/>
        <w:gridCol w:w="7938"/>
        <w:gridCol w:w="2408"/>
        <w:gridCol w:w="2128"/>
      </w:tblGrid>
      <w:tr w:rsidR="006D143D" w:rsidRPr="003C56F4" w14:paraId="47259A5C" w14:textId="77777777" w:rsidTr="003E5D48">
        <w:trPr>
          <w:trHeight w:val="354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41DC3F" w14:textId="77777777" w:rsidR="006D143D" w:rsidRPr="003C56F4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79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9AB44D1" w14:textId="77777777" w:rsidR="006D143D" w:rsidRPr="003C56F4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Բժշկական ծառայության տեսակը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B6EF" w14:textId="77777777" w:rsidR="006D143D" w:rsidRPr="003C56F4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Տրամադրման քանակը</w:t>
            </w:r>
          </w:p>
        </w:tc>
      </w:tr>
      <w:tr w:rsidR="006D143D" w:rsidRPr="003C56F4" w14:paraId="41620E35" w14:textId="77777777" w:rsidTr="003E5D48">
        <w:trPr>
          <w:trHeight w:val="138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F835B" w14:textId="77777777" w:rsidR="006D143D" w:rsidRPr="003C56F4" w:rsidRDefault="006D143D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793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7EFBEB" w14:textId="77777777" w:rsidR="006D143D" w:rsidRPr="003C56F4" w:rsidRDefault="006D143D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93599D" w14:textId="77777777" w:rsidR="006D143D" w:rsidRPr="003C56F4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ԱԲ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E19D73" w14:textId="77777777" w:rsidR="006D143D" w:rsidRPr="003C56F4" w:rsidRDefault="004165C7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3C56F4">
              <w:rPr>
                <w:rFonts w:ascii="GHEA Grapalat" w:eastAsia="Times New Roman" w:hAnsi="GHEA Grapalat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Բ</w:t>
            </w:r>
          </w:p>
        </w:tc>
      </w:tr>
      <w:tr w:rsidR="003E5D48" w:rsidRPr="003C56F4" w14:paraId="719718C4" w14:textId="77777777" w:rsidTr="003E5D48">
        <w:trPr>
          <w:trHeight w:val="379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7E164" w14:textId="77777777" w:rsidR="003E5D48" w:rsidRPr="003C56F4" w:rsidRDefault="003E5D48" w:rsidP="003C56F4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793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EA6E0" w14:textId="6062DC4E" w:rsidR="003E5D48" w:rsidRPr="003C56F4" w:rsidRDefault="00271A72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Բրոնխոսկոպիկ հետազոտություն</w:t>
            </w:r>
          </w:p>
        </w:tc>
        <w:tc>
          <w:tcPr>
            <w:tcW w:w="24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F4A848" w14:textId="18870866" w:rsidR="003E5D48" w:rsidRPr="003C56F4" w:rsidRDefault="003E5D48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E8A1E1" w14:textId="58DFCD8B" w:rsidR="003E5D48" w:rsidRPr="003C56F4" w:rsidRDefault="003E5D48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  <w:tr w:rsidR="00C738E3" w:rsidRPr="003C56F4" w14:paraId="1E000627" w14:textId="77777777" w:rsidTr="00AB75D7">
        <w:trPr>
          <w:trHeight w:val="379"/>
        </w:trPr>
        <w:tc>
          <w:tcPr>
            <w:tcW w:w="9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F8797" w14:textId="77777777" w:rsidR="00C738E3" w:rsidRPr="003C56F4" w:rsidRDefault="00C738E3" w:rsidP="003C56F4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5B19906" w14:textId="29AD26D7" w:rsidR="00C738E3" w:rsidRPr="003C56F4" w:rsidRDefault="00C738E3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Ստամոքսի պարունակության արտաբերում</w:t>
            </w:r>
          </w:p>
        </w:tc>
        <w:tc>
          <w:tcPr>
            <w:tcW w:w="24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86E0C" w14:textId="22423092" w:rsidR="00C738E3" w:rsidRPr="003C56F4" w:rsidRDefault="00C738E3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12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AB2875F" w14:textId="671BF2E4" w:rsidR="00C738E3" w:rsidRPr="003C56F4" w:rsidRDefault="00C738E3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  <w:tr w:rsidR="00C738E3" w:rsidRPr="003C56F4" w14:paraId="3723DDBA" w14:textId="77777777" w:rsidTr="00AB75D7">
        <w:trPr>
          <w:trHeight w:val="3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1ABC" w14:textId="28E09A31" w:rsidR="00C738E3" w:rsidRPr="003C56F4" w:rsidRDefault="00C738E3" w:rsidP="003C56F4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7E94" w14:textId="798F6D19" w:rsidR="00C738E3" w:rsidRPr="003C56F4" w:rsidRDefault="00C738E3" w:rsidP="00AB75D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Խորխի ինդուկցիա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DD45" w14:textId="49C612F9" w:rsidR="00C738E3" w:rsidRPr="003C56F4" w:rsidRDefault="00C738E3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9F5" w14:textId="40BDF9A6" w:rsidR="00C738E3" w:rsidRPr="003C56F4" w:rsidRDefault="00C738E3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  <w:tr w:rsidR="003E5D48" w:rsidRPr="003C56F4" w14:paraId="6E6D4FB3" w14:textId="77777777" w:rsidTr="00AB75D7">
        <w:trPr>
          <w:trHeight w:val="37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3D9" w14:textId="77777777" w:rsidR="003E5D48" w:rsidRPr="003C56F4" w:rsidRDefault="003E5D48" w:rsidP="003C56F4">
            <w:pPr>
              <w:numPr>
                <w:ilvl w:val="0"/>
                <w:numId w:val="22"/>
              </w:numPr>
              <w:spacing w:after="0" w:line="240" w:lineRule="auto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845B" w14:textId="193B8187" w:rsidR="003E5D48" w:rsidRPr="003C56F4" w:rsidRDefault="003E5D48" w:rsidP="00AB75D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  <w:t xml:space="preserve">Էլեկտրասրտագրություն 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(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ԷՍԳ</w:t>
            </w: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7FCF" w14:textId="3C3EA9D1" w:rsidR="003E5D48" w:rsidRPr="003C56F4" w:rsidRDefault="003E5D48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FF7F" w14:textId="60518DA4" w:rsidR="003E5D48" w:rsidRPr="003C56F4" w:rsidRDefault="003E5D48" w:rsidP="00AB75D7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Courier New"/>
                <w:color w:val="000000"/>
                <w:sz w:val="24"/>
                <w:szCs w:val="24"/>
                <w:lang w:eastAsia="ru-RU"/>
              </w:rPr>
              <w:t>0.1</w:t>
            </w:r>
          </w:p>
        </w:tc>
      </w:tr>
    </w:tbl>
    <w:p w14:paraId="13447BAB" w14:textId="33334AB1" w:rsidR="00F90016" w:rsidRDefault="00F90016" w:rsidP="003C56F4">
      <w:pPr>
        <w:spacing w:after="0" w:line="360" w:lineRule="auto"/>
        <w:ind w:firstLine="425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96347">
        <w:rPr>
          <w:rFonts w:ascii="GHEA Grapalat" w:hAnsi="GHEA Grapalat"/>
          <w:sz w:val="24"/>
          <w:szCs w:val="24"/>
          <w:lang w:val="hy-AM"/>
        </w:rPr>
        <w:t>1</w:t>
      </w:r>
      <w:r w:rsidR="003C56F4">
        <w:rPr>
          <w:rFonts w:ascii="GHEA Grapalat" w:hAnsi="GHEA Grapalat"/>
          <w:sz w:val="24"/>
          <w:szCs w:val="24"/>
          <w:lang w:val="hy-AM"/>
        </w:rPr>
        <w:t>4</w:t>
      </w:r>
      <w:r w:rsidRPr="00E96347">
        <w:rPr>
          <w:rFonts w:ascii="Cambria Math" w:hAnsi="Cambria Math" w:cs="Cambria Math"/>
          <w:sz w:val="24"/>
          <w:szCs w:val="24"/>
          <w:lang w:val="hy-AM"/>
        </w:rPr>
        <w:t>․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 Սույն հավելվածի Ձև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A4CA5">
        <w:rPr>
          <w:rFonts w:ascii="GHEA Grapalat" w:hAnsi="GHEA Grapalat"/>
          <w:sz w:val="24"/>
          <w:szCs w:val="24"/>
          <w:lang w:val="hy-AM"/>
        </w:rPr>
        <w:t>5</w:t>
      </w:r>
      <w:r w:rsidRPr="00E96347">
        <w:rPr>
          <w:rFonts w:ascii="GHEA Grapalat" w:hAnsi="GHEA Grapalat"/>
          <w:sz w:val="24"/>
          <w:szCs w:val="24"/>
          <w:lang w:val="hy-AM"/>
        </w:rPr>
        <w:t xml:space="preserve">–ում սահմանված </w:t>
      </w:r>
      <w:r w:rsidRPr="00E96347">
        <w:rPr>
          <w:rFonts w:ascii="GHEA Grapalat" w:hAnsi="GHEA Grapalat" w:cs="Arial"/>
          <w:sz w:val="24"/>
          <w:szCs w:val="24"/>
          <w:lang w:val="hy-AM"/>
        </w:rPr>
        <w:t xml:space="preserve">տրամադրվող քանակների համար նշվում է միջինացված ցուցանիշ, նկատի ունենալով, թե ինչ հաճախականությամբ է իրականացվում տվյալ բուժական միջոցառումը։ Հաճախականության հաշվարկման միավորը պետք է լինի 0-ից 1 միջակայքում և հաշվի առնի նմանատիպ 100 դեպքերում տվյալ բուժական միջոցառման կիրառման հաճախականությունը։ </w:t>
      </w:r>
    </w:p>
    <w:p w14:paraId="0CE4D102" w14:textId="1387DECB" w:rsidR="004A4CA5" w:rsidRPr="00E96347" w:rsidRDefault="004A4CA5" w:rsidP="003C56F4">
      <w:pPr>
        <w:spacing w:after="0" w:line="360" w:lineRule="auto"/>
        <w:ind w:firstLine="425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</w:t>
      </w:r>
      <w:r w:rsidR="003C56F4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Pr="004A4CA5">
        <w:rPr>
          <w:rFonts w:ascii="GHEA Grapalat" w:hAnsi="GHEA Grapalat" w:cs="Arial"/>
          <w:sz w:val="24"/>
          <w:szCs w:val="24"/>
          <w:lang w:val="hy-AM"/>
        </w:rPr>
        <w:t>Կանխարգելիչ բուժման ռեժիմները սահմանվում</w:t>
      </w:r>
      <w:r>
        <w:rPr>
          <w:rFonts w:ascii="GHEA Grapalat" w:hAnsi="GHEA Grapalat" w:cs="Arial"/>
          <w:sz w:val="24"/>
          <w:szCs w:val="24"/>
          <w:lang w:val="hy-AM"/>
        </w:rPr>
        <w:t xml:space="preserve"> են Ձև 6-ում.</w:t>
      </w:r>
    </w:p>
    <w:p w14:paraId="1768FF5C" w14:textId="04038AE2" w:rsidR="00011AA5" w:rsidRPr="00B50AC5" w:rsidRDefault="00011AA5" w:rsidP="00011AA5">
      <w:pPr>
        <w:ind w:right="-1"/>
        <w:jc w:val="right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hAnsi="GHEA Grapalat" w:cs="Arial"/>
          <w:b/>
          <w:lang w:val="hy-AM"/>
        </w:rPr>
        <w:t xml:space="preserve">Ձև </w:t>
      </w:r>
      <w:r>
        <w:rPr>
          <w:rFonts w:ascii="GHEA Grapalat" w:hAnsi="GHEA Grapalat" w:cs="Arial"/>
          <w:b/>
          <w:lang w:val="hy-AM"/>
        </w:rPr>
        <w:t>6</w:t>
      </w:r>
    </w:p>
    <w:p w14:paraId="3219291D" w14:textId="77777777" w:rsidR="00011AA5" w:rsidRPr="00B50AC5" w:rsidRDefault="00011AA5" w:rsidP="00011AA5">
      <w:pPr>
        <w:pStyle w:val="ListParagraph"/>
        <w:spacing w:after="0" w:line="276" w:lineRule="auto"/>
        <w:ind w:left="1440"/>
        <w:jc w:val="center"/>
        <w:rPr>
          <w:rFonts w:ascii="GHEA Grapalat" w:hAnsi="GHEA Grapalat" w:cs="Arial"/>
          <w:b/>
          <w:lang w:val="hy-AM"/>
        </w:rPr>
      </w:pP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72"/>
        <w:gridCol w:w="3825"/>
        <w:gridCol w:w="1843"/>
        <w:gridCol w:w="5526"/>
      </w:tblGrid>
      <w:tr w:rsidR="00011AA5" w:rsidRPr="003C56F4" w14:paraId="43ECA08A" w14:textId="77777777" w:rsidTr="004A4CA5">
        <w:trPr>
          <w:trHeight w:val="656"/>
          <w:jc w:val="center"/>
        </w:trPr>
        <w:tc>
          <w:tcPr>
            <w:tcW w:w="704" w:type="dxa"/>
            <w:vAlign w:val="center"/>
          </w:tcPr>
          <w:p w14:paraId="7E8A4702" w14:textId="77777777" w:rsidR="00011AA5" w:rsidRPr="003C56F4" w:rsidRDefault="00011AA5" w:rsidP="00BC3265">
            <w:pPr>
              <w:ind w:left="-6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 w:cs="Arial"/>
                <w:sz w:val="24"/>
                <w:szCs w:val="24"/>
                <w:lang w:val="hy-AM"/>
              </w:rPr>
              <w:br w:type="page"/>
            </w:r>
            <w:r w:rsidRPr="003C56F4">
              <w:rPr>
                <w:rFonts w:eastAsia="Times New Roman" w:cs="Calibri"/>
                <w:sz w:val="24"/>
                <w:szCs w:val="24"/>
                <w:lang w:val="hy-AM" w:eastAsia="ru-RU"/>
              </w:rPr>
              <w:t> </w:t>
            </w:r>
            <w:r w:rsidRPr="003C56F4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Հ/Հ</w:t>
            </w:r>
          </w:p>
        </w:tc>
        <w:tc>
          <w:tcPr>
            <w:tcW w:w="2272" w:type="dxa"/>
            <w:vAlign w:val="center"/>
          </w:tcPr>
          <w:p w14:paraId="19D31409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b/>
                <w:sz w:val="24"/>
                <w:szCs w:val="24"/>
              </w:rPr>
              <w:t>Կանխարգելիչ բ</w:t>
            </w:r>
            <w:r w:rsidRPr="003C56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ուժման ռեժիմ</w:t>
            </w:r>
          </w:p>
          <w:p w14:paraId="51B45DEF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825" w:type="dxa"/>
            <w:vAlign w:val="center"/>
          </w:tcPr>
          <w:p w14:paraId="0F846A4D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Նշանակման ցուցում</w:t>
            </w:r>
          </w:p>
          <w:p w14:paraId="65EEC298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AC2B05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Բուժման տևողություն</w:t>
            </w:r>
          </w:p>
          <w:p w14:paraId="4EFB2493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3C56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ամիս</w:t>
            </w:r>
            <w:r w:rsidRPr="003C56F4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5526" w:type="dxa"/>
            <w:vAlign w:val="center"/>
          </w:tcPr>
          <w:p w14:paraId="13B6F95E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Մեկնաբանություններ</w:t>
            </w:r>
          </w:p>
          <w:p w14:paraId="6D893614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011AA5" w:rsidRPr="00855FC0" w14:paraId="6A73E919" w14:textId="77777777" w:rsidTr="004A4CA5">
        <w:trPr>
          <w:jc w:val="center"/>
        </w:trPr>
        <w:tc>
          <w:tcPr>
            <w:tcW w:w="704" w:type="dxa"/>
            <w:vAlign w:val="center"/>
          </w:tcPr>
          <w:p w14:paraId="67D7B0F6" w14:textId="315DBA05" w:rsidR="00011AA5" w:rsidRPr="003C56F4" w:rsidRDefault="00011AA5" w:rsidP="004A4CA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58ACBD9C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b/>
                <w:bCs/>
                <w:sz w:val="24"/>
                <w:szCs w:val="24"/>
                <w:lang w:val="en-GB"/>
              </w:rPr>
              <w:t>6H</w:t>
            </w:r>
          </w:p>
        </w:tc>
        <w:tc>
          <w:tcPr>
            <w:tcW w:w="3825" w:type="dxa"/>
            <w:vAlign w:val="center"/>
          </w:tcPr>
          <w:p w14:paraId="75F2E741" w14:textId="77777777" w:rsidR="00011AA5" w:rsidRPr="003C56F4" w:rsidRDefault="00011AA5" w:rsidP="00BC3265">
            <w:pPr>
              <w:ind w:left="-6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Դեղազգայուն թոքային ինդեքս դեպքի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տնային կամ սերտ կոնտակտավոր</w:t>
            </w:r>
          </w:p>
        </w:tc>
        <w:tc>
          <w:tcPr>
            <w:tcW w:w="1843" w:type="dxa"/>
            <w:vAlign w:val="center"/>
          </w:tcPr>
          <w:p w14:paraId="029EA3CD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5526" w:type="dxa"/>
            <w:vAlign w:val="center"/>
          </w:tcPr>
          <w:p w14:paraId="1AFE9444" w14:textId="77777777" w:rsidR="00011AA5" w:rsidRPr="003C56F4" w:rsidRDefault="00011AA5" w:rsidP="00BC3265">
            <w:pPr>
              <w:ind w:left="-64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Բուժումը սկսել 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ԴԶԹ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ստանալուց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հաստատում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ՏԲ-ի դեղազգայուն լինելը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Ռեժիմը նախատեսված է 0-4 տարեկան երեխաների համար, որոնք հակացուցում չունեն իզոնիազիդի նկատմամբ: Իզոնիազիդը տրվում է ամեն օր վեց ամսվա ընթացքում:</w:t>
            </w:r>
          </w:p>
          <w:p w14:paraId="338AAF4D" w14:textId="77777777" w:rsidR="00011AA5" w:rsidRPr="003C56F4" w:rsidRDefault="00011AA5" w:rsidP="00BC3265">
            <w:pPr>
              <w:ind w:left="-6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>ԱՀԿ խիստ անհրաժեշտ առաջարկություն, ազդեցության գնահատականների միջինից մինչև բարձր վստահություն</w:t>
            </w:r>
          </w:p>
        </w:tc>
      </w:tr>
      <w:tr w:rsidR="00011AA5" w:rsidRPr="00855FC0" w14:paraId="65A5ADBA" w14:textId="77777777" w:rsidTr="004A4CA5">
        <w:trPr>
          <w:trHeight w:val="498"/>
          <w:jc w:val="center"/>
        </w:trPr>
        <w:tc>
          <w:tcPr>
            <w:tcW w:w="704" w:type="dxa"/>
            <w:vAlign w:val="center"/>
          </w:tcPr>
          <w:p w14:paraId="7BC252E6" w14:textId="73B6133A" w:rsidR="00011AA5" w:rsidRPr="003C56F4" w:rsidRDefault="00011AA5" w:rsidP="004A4CA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72" w:type="dxa"/>
            <w:vAlign w:val="center"/>
          </w:tcPr>
          <w:p w14:paraId="68F33431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3HP</w:t>
            </w:r>
          </w:p>
        </w:tc>
        <w:tc>
          <w:tcPr>
            <w:tcW w:w="3825" w:type="dxa"/>
            <w:vAlign w:val="center"/>
          </w:tcPr>
          <w:p w14:paraId="552638B5" w14:textId="77777777" w:rsidR="00011AA5" w:rsidRPr="003C56F4" w:rsidRDefault="00011AA5" w:rsidP="00BC3265">
            <w:pPr>
              <w:ind w:left="-64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Դեղազգայուն թոքային ինդեքս դեպքի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տնային կամ սերտ կոնտակտավոր</w:t>
            </w:r>
          </w:p>
        </w:tc>
        <w:tc>
          <w:tcPr>
            <w:tcW w:w="1843" w:type="dxa"/>
            <w:vAlign w:val="center"/>
          </w:tcPr>
          <w:p w14:paraId="365A49BA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526" w:type="dxa"/>
            <w:vAlign w:val="center"/>
          </w:tcPr>
          <w:p w14:paraId="40CB3378" w14:textId="772675B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Համարվում է այլընտրանքային բուժում: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Բուժումը սկսել 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ԴԶԹ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ստանալուց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հաստատում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ՏԲ-ի դեղազգայուն լինելը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3C56F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Ռեժիմը նախատեսված է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2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-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4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տարեկան երեխաների համար, որոնք հակացուցում չունեն իզոնիազիդի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կամ ռիֆապենտինի նկատմամբ: Տրվում է շաբաթական մեկ անգամ 3 ամսվա ընթացքում: Դեղերի ընդունման ձևը՝ ուղղակիորեն վերահսկվող:</w:t>
            </w:r>
          </w:p>
          <w:p w14:paraId="4E8266B3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7BAAAE46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Ռիֆամիցինները ինդուկցում են որոշակի ցիտոքրոմ P-450 ֆերմենտներ և, հետևաբար, կարող են խանգարել այս նյութափոխանակության ուղուց կախված դեղամիջոցների գործունեությանը՝ արագացնելով դրանց արտազատումը: Այս դեղամիջոցների թվում են հակավիրուսային թերապիան (ՀՌԹ), հակացնցումային դեղամիջոցները, հակաառիթմիկ դեղամիջոցները, քինին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ներ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ը, հակամակարդիչներ, հակասնկային դեղամիջոցները, կորտիկոստերոիդները, ցիկլոսպորինը, ֆտորքինոլոնները և այլ հակամանրէային դեղամիջոցները, հիպոգլիկեմիկ դեղամիջոցները, մեթադոնը: Հետևաբար, այս դեղամիջոցներից պետք է խուսափել ռիֆապենտին պարունակող ռեժիմներ ընդունելիս, կամ դրանց դեղաչափերը պետք է ճշգրտվեն:</w:t>
            </w:r>
          </w:p>
          <w:p w14:paraId="5DECBE0C" w14:textId="77777777" w:rsidR="00011AA5" w:rsidRPr="003C56F4" w:rsidRDefault="00011AA5" w:rsidP="00BC3265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Հակացուցված է որոշ հակամարդիչների,  հեպատիտ Ց-ի և Բ-ի բուժման համար օգտագործվող հակավիռուսային, </w:t>
            </w:r>
            <w:r w:rsidRPr="003C56F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հակատրոմբոցիտային և հակաբեղմնավորիչ դեղ</w:t>
            </w:r>
            <w:r w:rsidRPr="003C56F4">
              <w:rPr>
                <w:rFonts w:ascii="GHEA Grapalat" w:hAnsi="GHEA Grapalat" w:cs="Sylfaen"/>
                <w:bCs/>
                <w:sz w:val="24"/>
                <w:szCs w:val="24"/>
              </w:rPr>
              <w:t>երի</w:t>
            </w:r>
            <w:r w:rsidRPr="003C56F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հետ: </w:t>
            </w:r>
          </w:p>
          <w:p w14:paraId="5E43ADB2" w14:textId="77777777" w:rsidR="00011AA5" w:rsidRPr="003C56F4" w:rsidRDefault="00011AA5" w:rsidP="00BC3265">
            <w:pPr>
              <w:spacing w:after="0" w:line="240" w:lineRule="auto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3C56F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ԱՀԿ խիստ անհրաժեշտ առաջարկություն, ազդեցության գնահատականների միջինից մինչև բարձր վստահություն</w:t>
            </w:r>
          </w:p>
          <w:p w14:paraId="656B6F9C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1AA5" w:rsidRPr="003C56F4" w14:paraId="3FAD8170" w14:textId="77777777" w:rsidTr="004A4CA5">
        <w:trPr>
          <w:trHeight w:val="498"/>
          <w:jc w:val="center"/>
        </w:trPr>
        <w:tc>
          <w:tcPr>
            <w:tcW w:w="704" w:type="dxa"/>
            <w:vAlign w:val="center"/>
          </w:tcPr>
          <w:p w14:paraId="2006B4A7" w14:textId="2B0C87DD" w:rsidR="00011AA5" w:rsidRPr="003C56F4" w:rsidRDefault="00011AA5" w:rsidP="004A4CA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72" w:type="dxa"/>
            <w:vAlign w:val="center"/>
          </w:tcPr>
          <w:p w14:paraId="3C4D3CB7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3HR</w:t>
            </w:r>
          </w:p>
        </w:tc>
        <w:tc>
          <w:tcPr>
            <w:tcW w:w="3825" w:type="dxa"/>
            <w:vAlign w:val="center"/>
          </w:tcPr>
          <w:p w14:paraId="7A1F0E58" w14:textId="77777777" w:rsidR="00011AA5" w:rsidRPr="003C56F4" w:rsidRDefault="00011AA5" w:rsidP="00BC3265">
            <w:pPr>
              <w:ind w:left="-64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Դեղազգայուն թոքային ինդեքս դեպքի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տնային կամ սերտ կոնտակտավոր</w:t>
            </w:r>
          </w:p>
        </w:tc>
        <w:tc>
          <w:tcPr>
            <w:tcW w:w="1843" w:type="dxa"/>
            <w:vAlign w:val="center"/>
          </w:tcPr>
          <w:p w14:paraId="14764C51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5526" w:type="dxa"/>
            <w:vAlign w:val="center"/>
          </w:tcPr>
          <w:p w14:paraId="195A8D21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Համարվում է այլընտրանքային բուժում: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Բուժումը սկսել 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ԴԶԹ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ստանալուց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հաստատում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ՏԲ-ի դեղազգայուն լինելը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Ռեժիմը նախատեսված է 0-5 տարեկան երեխաների համար: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Դեղերը տրվում է ամեն օր: Դեղերի ընդունման ձևը՝ ուղղակիորեն վերահսկվող:</w:t>
            </w:r>
          </w:p>
          <w:p w14:paraId="41E4EC53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Առկա է միայն մեկ հետազոտություն և ապաց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ու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>ցողականության ցածր աստիճան, սակայն հանդիսանում է այլընտրանք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,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եթե այլ ավելի բարձր ապացուցողականություն ունեցող ռեժիմները հնարավոր չէ օգտագործել: Հաշվի առնել Ռիֆամիցինների փոխազդեցությունը այլ դեղերի հետ:</w:t>
            </w:r>
          </w:p>
          <w:p w14:paraId="064B14FB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14:paraId="09709915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011AA5" w:rsidRPr="003C56F4" w14:paraId="1FB3100B" w14:textId="77777777" w:rsidTr="004A4CA5">
        <w:trPr>
          <w:trHeight w:val="498"/>
          <w:jc w:val="center"/>
        </w:trPr>
        <w:tc>
          <w:tcPr>
            <w:tcW w:w="704" w:type="dxa"/>
            <w:vAlign w:val="center"/>
          </w:tcPr>
          <w:p w14:paraId="7E4B721C" w14:textId="1AC5036D" w:rsidR="00011AA5" w:rsidRPr="003C56F4" w:rsidRDefault="00011AA5" w:rsidP="004A4CA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F65A6DE" w14:textId="77777777" w:rsidR="00011AA5" w:rsidRPr="003C56F4" w:rsidRDefault="00011AA5" w:rsidP="00BC3265">
            <w:pPr>
              <w:spacing w:after="0" w:line="240" w:lineRule="auto"/>
              <w:ind w:left="-64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C56F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4R</w:t>
            </w:r>
          </w:p>
        </w:tc>
        <w:tc>
          <w:tcPr>
            <w:tcW w:w="3825" w:type="dxa"/>
            <w:vAlign w:val="center"/>
          </w:tcPr>
          <w:p w14:paraId="69BF4E84" w14:textId="77777777" w:rsidR="00011AA5" w:rsidRPr="003C56F4" w:rsidRDefault="00011AA5" w:rsidP="00BC3265">
            <w:pPr>
              <w:ind w:left="-64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Դեղազգայուն թոքային ինդեքս դեպքի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տնային կամ սերտ կոնտակտավոր</w:t>
            </w:r>
          </w:p>
        </w:tc>
        <w:tc>
          <w:tcPr>
            <w:tcW w:w="1843" w:type="dxa"/>
            <w:vAlign w:val="center"/>
          </w:tcPr>
          <w:p w14:paraId="6B33FCCF" w14:textId="77777777" w:rsidR="00011AA5" w:rsidRPr="003C56F4" w:rsidRDefault="00011AA5" w:rsidP="00BC3265">
            <w:pPr>
              <w:spacing w:after="0" w:line="240" w:lineRule="auto"/>
              <w:ind w:left="-5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C56F4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5526" w:type="dxa"/>
            <w:vAlign w:val="center"/>
          </w:tcPr>
          <w:p w14:paraId="44768FC1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Համարվում է այլընտրանքային բուժում: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Բուժումը սկսել 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ԴԶԹ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ստանալուց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որը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հաստատում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C56F4">
              <w:rPr>
                <w:rFonts w:ascii="GHEA Grapalat" w:hAnsi="GHEA Grapalat" w:cs="Sylfaen"/>
                <w:sz w:val="24"/>
                <w:szCs w:val="24"/>
                <w:lang w:val="hy-AM"/>
              </w:rPr>
              <w:t>ՏԲ-ի դեղազգայուն լինելը</w:t>
            </w:r>
            <w:r w:rsidRPr="003C56F4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Ռեժիմը նախատեսված է 0-5 տարեկան երեխաների համար: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Դեղը տրվում է ամեն օր: Դեղի ընդունման ձևը՝ ուղղակիորեն վերահսկվող: </w:t>
            </w:r>
          </w:p>
          <w:p w14:paraId="1375B103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պացւոցողականության ցածր աստիճան, սակայն հանդիսանում է այլընտրանք եթե այլ ավելի բարձր ապացուցողականություն ունեցող </w:t>
            </w:r>
            <w:r w:rsidRPr="003C56F4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>ռեժիմները հնարավոր չէ օգտագործել: Հաշվի առնել Ռիֆամիցինների փոխազդեցությունը այլ դեղերի հետ:</w:t>
            </w:r>
          </w:p>
          <w:p w14:paraId="25148806" w14:textId="77777777" w:rsidR="00011AA5" w:rsidRPr="003C56F4" w:rsidRDefault="00011AA5" w:rsidP="00BC3265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3C56F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ԱՀԿ պայմանական առաջարկություն, ազդեցության գնահատականների ցածրից մինչև միջին վստահություն:</w:t>
            </w:r>
          </w:p>
        </w:tc>
      </w:tr>
    </w:tbl>
    <w:p w14:paraId="337B42E0" w14:textId="77777777" w:rsidR="00011AA5" w:rsidRPr="003C56F4" w:rsidRDefault="00011AA5" w:rsidP="00011AA5">
      <w:pPr>
        <w:pStyle w:val="ListParagraph"/>
        <w:spacing w:after="0" w:line="276" w:lineRule="auto"/>
        <w:ind w:left="144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14:paraId="5113FF01" w14:textId="28401E1F" w:rsidR="00AB75D7" w:rsidRPr="003C56F4" w:rsidRDefault="004A4CA5" w:rsidP="00AB75D7">
      <w:pPr>
        <w:jc w:val="both"/>
        <w:rPr>
          <w:rFonts w:ascii="GHEA Grapalat" w:hAnsi="GHEA Grapalat" w:cs="Arial"/>
          <w:iCs/>
          <w:sz w:val="24"/>
          <w:szCs w:val="24"/>
          <w:lang w:val="hy-AM"/>
        </w:rPr>
      </w:pPr>
      <w:r w:rsidRPr="003C56F4">
        <w:rPr>
          <w:rFonts w:ascii="GHEA Grapalat" w:hAnsi="GHEA Grapalat" w:cs="Arial"/>
          <w:iCs/>
          <w:sz w:val="24"/>
          <w:szCs w:val="24"/>
          <w:lang w:val="hy-AM"/>
        </w:rPr>
        <w:t>1</w:t>
      </w:r>
      <w:r w:rsidR="003C56F4" w:rsidRPr="003C56F4">
        <w:rPr>
          <w:rFonts w:ascii="GHEA Grapalat" w:hAnsi="GHEA Grapalat" w:cs="Arial"/>
          <w:iCs/>
          <w:sz w:val="24"/>
          <w:szCs w:val="24"/>
          <w:lang w:val="hy-AM"/>
        </w:rPr>
        <w:t>6</w:t>
      </w:r>
      <w:r w:rsidRPr="003C56F4">
        <w:rPr>
          <w:rFonts w:ascii="GHEA Grapalat" w:hAnsi="GHEA Grapalat" w:cs="Arial"/>
          <w:iCs/>
          <w:sz w:val="24"/>
          <w:szCs w:val="24"/>
          <w:lang w:val="hy-AM"/>
        </w:rPr>
        <w:t>. Հաշվառումը և մշտադիտարկումը սահմանվում են Ձև 7-ում.</w:t>
      </w:r>
    </w:p>
    <w:p w14:paraId="3BA29F81" w14:textId="77334D92" w:rsidR="004A4CA5" w:rsidRPr="003C56F4" w:rsidRDefault="004A4CA5" w:rsidP="004A4CA5">
      <w:pPr>
        <w:jc w:val="right"/>
        <w:rPr>
          <w:rFonts w:ascii="GHEA Grapalat" w:hAnsi="GHEA Grapalat" w:cs="Arial"/>
          <w:b/>
          <w:bCs/>
          <w:iCs/>
          <w:sz w:val="24"/>
          <w:szCs w:val="24"/>
          <w:lang w:val="hy-AM"/>
        </w:rPr>
      </w:pPr>
      <w:r w:rsidRPr="003C56F4">
        <w:rPr>
          <w:rFonts w:ascii="GHEA Grapalat" w:hAnsi="GHEA Grapalat" w:cs="Arial"/>
          <w:b/>
          <w:bCs/>
          <w:iCs/>
          <w:sz w:val="24"/>
          <w:szCs w:val="24"/>
          <w:lang w:val="hy-AM"/>
        </w:rPr>
        <w:t>Ձև 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4"/>
      </w:tblGrid>
      <w:tr w:rsidR="00AB75D7" w:rsidRPr="00855FC0" w14:paraId="1A65C37A" w14:textId="77777777" w:rsidTr="00AB75D7">
        <w:tc>
          <w:tcPr>
            <w:tcW w:w="13454" w:type="dxa"/>
          </w:tcPr>
          <w:tbl>
            <w:tblPr>
              <w:tblpPr w:leftFromText="180" w:rightFromText="180" w:vertAnchor="page" w:horzAnchor="margin" w:tblpY="581"/>
              <w:tblOverlap w:val="never"/>
              <w:tblW w:w="13228" w:type="dxa"/>
              <w:tblLook w:val="04A0" w:firstRow="1" w:lastRow="0" w:firstColumn="1" w:lastColumn="0" w:noHBand="0" w:noVBand="1"/>
            </w:tblPr>
            <w:tblGrid>
              <w:gridCol w:w="715"/>
              <w:gridCol w:w="4050"/>
              <w:gridCol w:w="8463"/>
            </w:tblGrid>
            <w:tr w:rsidR="00AB75D7" w:rsidRPr="00855FC0" w14:paraId="52011795" w14:textId="77777777" w:rsidTr="004A4CA5">
              <w:trPr>
                <w:trHeight w:val="332"/>
              </w:trPr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CBE7F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60F4BD1D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2807FD78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34C891E6" w14:textId="3F380C6B" w:rsidR="00AB75D7" w:rsidRPr="003C56F4" w:rsidRDefault="004A4CA5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3C56F4"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  <w:t>1</w:t>
                  </w:r>
                  <w:r w:rsidRPr="003C56F4"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40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F3880" w14:textId="7B097488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  <w:r w:rsidRPr="003C56F4"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  <w:t>Հաշվառում և հաշվետվություն</w:t>
                  </w:r>
                </w:p>
              </w:tc>
              <w:tc>
                <w:tcPr>
                  <w:tcW w:w="8463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77505" w14:textId="77777777" w:rsidR="00AB75D7" w:rsidRPr="003C56F4" w:rsidRDefault="00AB75D7" w:rsidP="00AB75D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3C56F4">
                    <w:rPr>
                      <w:rFonts w:ascii="GHEA Grapalat" w:eastAsia="Times New Roman" w:hAnsi="GHEA Grapalat" w:cs="Sylfaen"/>
                      <w:bCs/>
                      <w:sz w:val="24"/>
                      <w:szCs w:val="24"/>
                      <w:lang w:val="hy-AM" w:eastAsia="ru-RU"/>
                    </w:rPr>
                    <w:t>ՏԲ կանխարգելիչ բուժմամբ յուրաքանչյուր բուժառու</w:t>
                  </w:r>
                  <w:r w:rsidRPr="003C56F4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հաշվառման է ենթարկվում ըստ բնակության վայրի </w:t>
                  </w:r>
                  <w:r w:rsidRPr="003C56F4">
                    <w:rPr>
                      <w:rFonts w:ascii="GHEA Grapalat" w:eastAsia="Times New Roman" w:hAnsi="GHEA Grapalat" w:cs="Sylfaen"/>
                      <w:bCs/>
                      <w:sz w:val="24"/>
                      <w:szCs w:val="24"/>
                      <w:lang w:val="hy-AM" w:eastAsia="ru-RU"/>
                    </w:rPr>
                    <w:t>ՏԲ</w:t>
                  </w:r>
                  <w:r w:rsidRPr="003C56F4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կաբինետում: Բուժառուի տվյալները, կատարված հետազոտությունները և բուժման արդյունքները գրանցվում են տարածքային պոլիկլինիկայի կանխարգելիչ բուժման հաշվառման մատյանում և ՏԲ տվյալների գրանցման էլեկտրոնային առցանց համակարգում: ՏԲ կանխարգելիչ բուժման մեջ ընդգրկված բուժառուների վերաբերյալ հաշվետվությունները ներկայացվում է եռամսյակային և տարեկան։</w:t>
                  </w:r>
                </w:p>
              </w:tc>
            </w:tr>
            <w:tr w:rsidR="00AB75D7" w:rsidRPr="00855FC0" w14:paraId="5E322BB9" w14:textId="77777777" w:rsidTr="004A4CA5">
              <w:trPr>
                <w:trHeight w:val="332"/>
              </w:trPr>
              <w:tc>
                <w:tcPr>
                  <w:tcW w:w="71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93B42B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1E73ABB7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568F5A01" w14:textId="7DA55CF1" w:rsidR="00AB75D7" w:rsidRPr="003C56F4" w:rsidRDefault="004A4CA5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ru-RU" w:eastAsia="ru-RU"/>
                    </w:rPr>
                  </w:pPr>
                  <w:r w:rsidRPr="003C56F4"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ru-RU" w:eastAsia="ru-RU"/>
                    </w:rPr>
                    <w:t xml:space="preserve">2) </w:t>
                  </w:r>
                </w:p>
                <w:p w14:paraId="547CBFFD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50DE2EC4" w14:textId="77777777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</w:p>
                <w:p w14:paraId="326C564C" w14:textId="2B7FACA4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5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F29602" w14:textId="0D91EE36" w:rsidR="00AB75D7" w:rsidRPr="003C56F4" w:rsidRDefault="00AB75D7" w:rsidP="00AB75D7">
                  <w:pPr>
                    <w:spacing w:after="0" w:line="240" w:lineRule="auto"/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</w:pPr>
                  <w:r w:rsidRPr="003C56F4">
                    <w:rPr>
                      <w:rFonts w:ascii="GHEA Grapalat" w:eastAsia="Times New Roman" w:hAnsi="GHEA Grapalat" w:cs="Calibri"/>
                      <w:b/>
                      <w:sz w:val="24"/>
                      <w:szCs w:val="24"/>
                      <w:lang w:val="hy-AM" w:eastAsia="ru-RU"/>
                    </w:rPr>
                    <w:t>Մշտադիտարկում և գնահատում</w:t>
                  </w:r>
                </w:p>
              </w:tc>
              <w:tc>
                <w:tcPr>
                  <w:tcW w:w="8463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718D44" w14:textId="77777777" w:rsidR="00AB75D7" w:rsidRPr="003C56F4" w:rsidRDefault="00AB75D7" w:rsidP="00AB75D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3C56F4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ՏԲ կանխարգելիչ բուժման միջոցառումների արդյունավետության, առաջընթացի գնահատման ուղղված մշտադիտարկման և գնահատման գործառույթները ներառում են՝ ՏԲ կանխարգելիչ բուժման իրականացման մշտադիտարկում, գնահատում, տվյալների հավաքագրում և հաշվետվություն, տվյալների որակի ապահովում, գնահատում և ամփոփում, կարողությունների զարգացում։</w:t>
                  </w:r>
                </w:p>
                <w:p w14:paraId="1E452892" w14:textId="77777777" w:rsidR="00AB75D7" w:rsidRPr="003C56F4" w:rsidRDefault="00AB75D7" w:rsidP="00AB75D7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3C56F4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ՏԲ կանխարգելման միջոցառումների արդյունավետության գնահատման ցուցանիշները ձևավորվում են առողջապահական հաստատությունում հետևյալ գործողություններից՝ առողջապահական ոլորտի աշխատողների կողմից առաջընթացի ցուցանիշների կանոնավոր գրանցում և հաղորդում, համակարգված մշտադիտարկման այցեր։</w:t>
                  </w:r>
                </w:p>
              </w:tc>
            </w:tr>
          </w:tbl>
          <w:p w14:paraId="6890E9C9" w14:textId="217676B0" w:rsidR="00AB75D7" w:rsidRPr="003C56F4" w:rsidRDefault="00AB75D7" w:rsidP="00AB75D7">
            <w:pPr>
              <w:jc w:val="both"/>
              <w:rPr>
                <w:rFonts w:ascii="GHEA Grapalat" w:hAnsi="GHEA Grapalat" w:cs="Arial"/>
                <w:i/>
                <w:sz w:val="24"/>
                <w:szCs w:val="24"/>
                <w:lang w:val="hy-AM"/>
              </w:rPr>
            </w:pPr>
          </w:p>
        </w:tc>
      </w:tr>
    </w:tbl>
    <w:p w14:paraId="26AEDC52" w14:textId="77777777" w:rsidR="00815AF1" w:rsidRDefault="00815AF1" w:rsidP="00AB75D7">
      <w:pPr>
        <w:jc w:val="both"/>
        <w:rPr>
          <w:rFonts w:asciiTheme="minorHAnsi" w:hAnsiTheme="minorHAnsi" w:cs="SylfaenRegular"/>
          <w:sz w:val="20"/>
          <w:szCs w:val="20"/>
          <w:lang w:val="hy-AM"/>
        </w:rPr>
      </w:pPr>
    </w:p>
    <w:p w14:paraId="6BD1FF3B" w14:textId="723965A7" w:rsidR="00530ED4" w:rsidRPr="00B50AC5" w:rsidRDefault="00530ED4" w:rsidP="003C56F4">
      <w:pPr>
        <w:jc w:val="center"/>
        <w:rPr>
          <w:rFonts w:ascii="GHEA Grapalat" w:hAnsi="GHEA Grapalat" w:cs="Arial"/>
          <w:b/>
          <w:lang w:val="hy-AM"/>
        </w:rPr>
      </w:pPr>
      <w:r w:rsidRPr="00B50AC5">
        <w:rPr>
          <w:rFonts w:ascii="GHEA Grapalat" w:hAnsi="GHEA Grapalat" w:cs="Arial"/>
          <w:b/>
          <w:lang w:val="hy-AM"/>
        </w:rPr>
        <w:lastRenderedPageBreak/>
        <w:t>ԳՈՐԾԵԼԱԿԱՐԳԻ ՄՇԱԿՄԱՆ ԱՂԲՅՈՒՐՆԵՐԸ</w:t>
      </w:r>
    </w:p>
    <w:p w14:paraId="017AF20D" w14:textId="4C8EE995" w:rsidR="00857240" w:rsidRDefault="004D04E8" w:rsidP="00815AF1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>Տուբերկուլոզի վարման կլինիկական ուղեցույց, ՀՀ ԱՆ 19</w:t>
      </w:r>
      <w:r w:rsidRPr="00F8571F">
        <w:rPr>
          <w:rFonts w:ascii="Cambria Math" w:hAnsi="Cambria Math" w:cs="Cambria Math"/>
          <w:lang w:val="hy-AM"/>
        </w:rPr>
        <w:t>․</w:t>
      </w:r>
      <w:r w:rsidRPr="00F8571F">
        <w:rPr>
          <w:rFonts w:ascii="GHEA Grapalat" w:hAnsi="GHEA Grapalat" w:cs="Sylfaen"/>
          <w:lang w:val="hy-AM"/>
        </w:rPr>
        <w:t>08</w:t>
      </w:r>
      <w:r w:rsidRPr="00F8571F">
        <w:rPr>
          <w:rFonts w:ascii="Cambria Math" w:hAnsi="Cambria Math" w:cs="Cambria Math"/>
          <w:lang w:val="hy-AM"/>
        </w:rPr>
        <w:t>․</w:t>
      </w:r>
      <w:r w:rsidRPr="00F8571F">
        <w:rPr>
          <w:rFonts w:ascii="GHEA Grapalat" w:hAnsi="GHEA Grapalat" w:cs="Sylfaen"/>
          <w:lang w:val="hy-AM"/>
        </w:rPr>
        <w:t>2019 թ. թիվ 2278-Ա 2023թ 2019 թ.:</w:t>
      </w:r>
    </w:p>
    <w:p w14:paraId="62D0807C" w14:textId="6C5A4BA9" w:rsidR="00AB75D7" w:rsidRPr="00AB75D7" w:rsidRDefault="00AB75D7" w:rsidP="00815AF1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AB75D7">
        <w:rPr>
          <w:rFonts w:ascii="GHEA Grapalat" w:hAnsi="GHEA Grapalat" w:cs="Sylfaen"/>
          <w:lang w:val="hy-AM"/>
        </w:rPr>
        <w:t xml:space="preserve">Հայաստանի հանրապետությունում </w:t>
      </w:r>
      <w:r>
        <w:rPr>
          <w:rFonts w:ascii="GHEA Grapalat" w:hAnsi="GHEA Grapalat" w:cs="Sylfaen"/>
          <w:lang w:val="hy-AM"/>
        </w:rPr>
        <w:t>տուբերկուլոզ</w:t>
      </w:r>
      <w:r w:rsidRPr="00AB75D7">
        <w:rPr>
          <w:rFonts w:ascii="GHEA Grapalat" w:hAnsi="GHEA Grapalat" w:cs="Sylfaen"/>
          <w:lang w:val="hy-AM"/>
        </w:rPr>
        <w:t xml:space="preserve"> հիվանդության համաճարակաբանական դիտարկմանը և կանխարգելմանը ներկայացվող </w:t>
      </w:r>
      <w:r>
        <w:rPr>
          <w:rFonts w:ascii="GHEA Grapalat" w:hAnsi="GHEA Grapalat" w:cs="Sylfaen"/>
          <w:lang w:val="hy-AM"/>
        </w:rPr>
        <w:t>պահան</w:t>
      </w:r>
      <w:r w:rsidRPr="00AB75D7">
        <w:rPr>
          <w:rFonts w:ascii="GHEA Grapalat" w:hAnsi="GHEA Grapalat" w:cs="Sylfaen"/>
          <w:lang w:val="hy-AM"/>
        </w:rPr>
        <w:t>ջներ:</w:t>
      </w:r>
      <w:r w:rsidR="00BE1AB1">
        <w:rPr>
          <w:rFonts w:ascii="GHEA Grapalat" w:hAnsi="GHEA Grapalat" w:cs="Sylfaen"/>
          <w:lang w:val="hy-AM"/>
        </w:rPr>
        <w:t xml:space="preserve"> </w:t>
      </w:r>
      <w:r w:rsidR="00BE1AB1" w:rsidRPr="00BE1AB1">
        <w:rPr>
          <w:rFonts w:ascii="GHEA Grapalat" w:hAnsi="GHEA Grapalat" w:cs="Sylfaen"/>
          <w:lang w:val="hy-AM"/>
        </w:rPr>
        <w:t xml:space="preserve">Հանրային </w:t>
      </w:r>
      <w:r w:rsidR="00BE1AB1">
        <w:rPr>
          <w:rFonts w:ascii="GHEA Grapalat" w:hAnsi="GHEA Grapalat" w:cs="Sylfaen"/>
          <w:lang w:val="hy-AM"/>
        </w:rPr>
        <w:t>առողջ</w:t>
      </w:r>
      <w:r w:rsidR="00BE1AB1" w:rsidRPr="00BE1AB1">
        <w:rPr>
          <w:rFonts w:ascii="GHEA Grapalat" w:hAnsi="GHEA Grapalat" w:cs="Sylfaen"/>
          <w:lang w:val="hy-AM"/>
        </w:rPr>
        <w:t xml:space="preserve">ապահական նորմատիվ: ՀՀ </w:t>
      </w:r>
      <w:r w:rsidR="00BE1AB1">
        <w:rPr>
          <w:rFonts w:ascii="GHEA Grapalat" w:hAnsi="GHEA Grapalat" w:cs="Sylfaen"/>
          <w:lang w:val="hy-AM"/>
        </w:rPr>
        <w:t>առող</w:t>
      </w:r>
      <w:r w:rsidR="00BE1AB1" w:rsidRPr="00BE1AB1">
        <w:rPr>
          <w:rFonts w:ascii="GHEA Grapalat" w:hAnsi="GHEA Grapalat" w:cs="Sylfaen"/>
          <w:lang w:val="hy-AM"/>
        </w:rPr>
        <w:t>ջապահության նախարարի 2025 թվականի մարտ &lt;&lt;20&gt;</w:t>
      </w:r>
      <w:r w:rsidR="00BE1AB1" w:rsidRPr="00815AF1">
        <w:rPr>
          <w:rFonts w:ascii="GHEA Grapalat" w:hAnsi="GHEA Grapalat" w:cs="Sylfaen"/>
          <w:lang w:val="hy-AM"/>
        </w:rPr>
        <w:t>&gt;</w:t>
      </w:r>
      <w:r w:rsidR="00BE1AB1" w:rsidRPr="00BE1AB1">
        <w:rPr>
          <w:rFonts w:ascii="GHEA Grapalat" w:hAnsi="GHEA Grapalat" w:cs="Sylfaen"/>
          <w:lang w:val="hy-AM"/>
        </w:rPr>
        <w:t>- ի  34-Ն հրաման:</w:t>
      </w:r>
    </w:p>
    <w:p w14:paraId="7776A93E" w14:textId="64A49B49" w:rsidR="00530ED4" w:rsidRDefault="00530ED4" w:rsidP="00815AF1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 xml:space="preserve">WHO consolidated guidelines on tuberculosis, Module 1: prevention – tuberculosis preventive treatment, second edition. Geneva: World Health Organization; 2024 </w:t>
      </w:r>
    </w:p>
    <w:p w14:paraId="33294602" w14:textId="62C3463B" w:rsidR="00011AA5" w:rsidRPr="00F8571F" w:rsidRDefault="00011AA5" w:rsidP="00011AA5">
      <w:pPr>
        <w:pStyle w:val="ListParagraph"/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ԱՀԿ համակցված ուղեցույցներ տուբերկուլյոզի վերաբերյալ, Մոդուլ 1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կանխարգելում – տուբերկուլյոզի կանխարգելիչ բուժում, երկրորդ հրատարակություն։ </w:t>
      </w:r>
      <w:r w:rsidRPr="00011AA5">
        <w:rPr>
          <w:rFonts w:ascii="GHEA Grapalat" w:hAnsi="GHEA Grapalat" w:cs="Sylfaen"/>
        </w:rPr>
        <w:t>Ժնև՝ Առողջապահության համաշխարհային կազմակերպություն; 2024։</w:t>
      </w:r>
    </w:p>
    <w:p w14:paraId="39671069" w14:textId="36DE4D4B" w:rsidR="004D04E8" w:rsidRDefault="004D04E8" w:rsidP="00815AF1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>Sterling TR, Villarino ME, Borisov AS, Shang N, Gordin F, Bliven-Sizemore E et al. Three months of rifapentine and isoniazid for latent tuberculosis infection. N Engl J Med. 2011;365(23):2155–66. doi:10.1056/NEJMoa1104875.</w:t>
      </w:r>
    </w:p>
    <w:p w14:paraId="1F42E2E5" w14:textId="190CE44E" w:rsidR="00011AA5" w:rsidRPr="00011AA5" w:rsidRDefault="00011AA5" w:rsidP="00011AA5">
      <w:pPr>
        <w:pStyle w:val="ListParagraph"/>
        <w:tabs>
          <w:tab w:val="left" w:pos="360"/>
        </w:tabs>
        <w:spacing w:after="0" w:line="360" w:lineRule="auto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Սթերլինգ Թ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Ռ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Վիլլարինո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Ե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Բորիսով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Ս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Շանգ Ն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Գորդին Ֆ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Բլիվեն-Սայզմոր Է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Երեք ամիս ռիֆապենտին և իզոնիազիդ՝ թաքնված տուբերկուլյոզի վարակման բուժման համար։ </w:t>
      </w:r>
      <w:r w:rsidRPr="00011AA5">
        <w:rPr>
          <w:rFonts w:ascii="GHEA Grapalat" w:hAnsi="GHEA Grapalat" w:cs="Sylfaen"/>
          <w:i/>
          <w:iCs/>
          <w:lang w:val="hy-AM"/>
        </w:rPr>
        <w:t>Նյու Անգլիային բժշկական ամսագիր (New Engl J Med)</w:t>
      </w:r>
      <w:r w:rsidRPr="00011AA5">
        <w:rPr>
          <w:rFonts w:ascii="GHEA Grapalat" w:hAnsi="GHEA Grapalat" w:cs="Sylfaen"/>
          <w:lang w:val="hy-AM"/>
        </w:rPr>
        <w:t>, 2011; 365(23):2155–2166։ https://doi.org/10.1056/NEJMoa1104875</w:t>
      </w:r>
    </w:p>
    <w:p w14:paraId="33AA0889" w14:textId="428E4F08" w:rsidR="004D04E8" w:rsidRDefault="004D04E8" w:rsidP="00815AF1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>Villarino ME, Scott NA, Weis SE, Weiner M, Conde MB, Jones B et al. Treatment for preventing tuberculosis in children and adolescents: a randomized clinical trial of a 3-month, 12-dose regimen of a combination of rifapentine and isoniazid. JAMA Pediatr. 2015;169(3):247. doi:10.1001/jamapediatrics.2014.3158.</w:t>
      </w:r>
    </w:p>
    <w:p w14:paraId="380E0C47" w14:textId="171EB237" w:rsidR="00011AA5" w:rsidRPr="00AB75D7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Վիլլարինո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Ե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Սքոթ Ն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Վայս Ս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Ե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Վայներ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Կոնդե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Բ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Ջոնս Բ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Տուբերկուլյոզի կանխարգելիչ բուժում երեխաների և դեռահասների մոտ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ռիֆապենտին–իզոնիազիդի 3-ամսյա, 12-դեղաչափային սխեմայի ռանդոմիզացված կլինիկական հետազոտություն։ </w:t>
      </w:r>
      <w:r w:rsidRPr="00011AA5">
        <w:rPr>
          <w:rFonts w:ascii="GHEA Grapalat" w:hAnsi="GHEA Grapalat" w:cs="Sylfaen"/>
          <w:i/>
          <w:iCs/>
        </w:rPr>
        <w:t>JAMA Pediatrics</w:t>
      </w:r>
      <w:r w:rsidRPr="00011AA5">
        <w:rPr>
          <w:rFonts w:ascii="GHEA Grapalat" w:hAnsi="GHEA Grapalat" w:cs="Sylfaen"/>
        </w:rPr>
        <w:t>, 2015; 169(3):247։ https://doi.org/10.1001/jamapediatrics.2014.3158</w:t>
      </w:r>
    </w:p>
    <w:p w14:paraId="3A790515" w14:textId="77777777" w:rsidR="00B50AC5" w:rsidRPr="00AB75D7" w:rsidRDefault="00B50AC5" w:rsidP="00815AF1">
      <w:pPr>
        <w:pStyle w:val="ListParagraph"/>
        <w:ind w:left="0"/>
        <w:jc w:val="both"/>
        <w:rPr>
          <w:rFonts w:ascii="GHEA Grapalat" w:hAnsi="GHEA Grapalat" w:cs="Sylfaen"/>
          <w:lang w:val="hy-AM"/>
        </w:rPr>
      </w:pPr>
    </w:p>
    <w:p w14:paraId="4928A3AD" w14:textId="69DA17AC" w:rsidR="00B50AC5" w:rsidRDefault="00B50AC5" w:rsidP="00815AF1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B50AC5">
        <w:rPr>
          <w:rFonts w:ascii="GHEA Grapalat" w:hAnsi="GHEA Grapalat" w:cs="Sylfaen"/>
          <w:lang w:val="hy-AM"/>
        </w:rPr>
        <w:t>Swindells S, Ramchandani R, Gupta A, Benson CA, Leon-Cruz J, Mwelase N et al. One month of rifapentine plus isoniazid to prevent HIV-related tuberculosis. New Eng J Med. 2019;380(11):1001–11. doi:10.1056/NEJMoa1806808.</w:t>
      </w:r>
    </w:p>
    <w:p w14:paraId="78C1CD24" w14:textId="7D96D76A" w:rsidR="00011AA5" w:rsidRPr="00011AA5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lastRenderedPageBreak/>
        <w:t>Սվինդելս Ս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Ռամչանդանի Ռ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Գուպտա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Բենսոն Կ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Լեոն-Կրուս Խ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Մվելասե Ն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Մեկ ամիս ռիֆապենտին և իզոնիազիդ՝ ՄԻԱՎ-ով պայմանավորված տուբերկուլյոզի կանխարգելման համար։ </w:t>
      </w:r>
      <w:r w:rsidRPr="00011AA5">
        <w:rPr>
          <w:rFonts w:ascii="GHEA Grapalat" w:hAnsi="GHEA Grapalat" w:cs="Sylfaen"/>
          <w:i/>
          <w:iCs/>
          <w:lang w:val="hy-AM"/>
        </w:rPr>
        <w:t>Նյու Անգլիային բժշկական ամսագիր (New Engl J Med)</w:t>
      </w:r>
      <w:r w:rsidRPr="00011AA5">
        <w:rPr>
          <w:rFonts w:ascii="GHEA Grapalat" w:hAnsi="GHEA Grapalat" w:cs="Sylfaen"/>
          <w:lang w:val="hy-AM"/>
        </w:rPr>
        <w:t>, 2019; 380(11):1001–1011։ https://doi.org/10.1056/NEJMoa1806808</w:t>
      </w:r>
    </w:p>
    <w:p w14:paraId="6ECB109A" w14:textId="77777777" w:rsidR="00B50AC5" w:rsidRPr="00F8571F" w:rsidRDefault="00B50AC5" w:rsidP="00815AF1">
      <w:pPr>
        <w:pStyle w:val="ListParagraph"/>
        <w:ind w:left="0"/>
        <w:jc w:val="both"/>
        <w:rPr>
          <w:rFonts w:ascii="GHEA Grapalat" w:hAnsi="GHEA Grapalat" w:cs="Sylfaen"/>
          <w:lang w:val="hy-AM"/>
        </w:rPr>
      </w:pPr>
    </w:p>
    <w:p w14:paraId="5E4CF9E7" w14:textId="77777777" w:rsidR="00B50AC5" w:rsidRDefault="00B50AC5" w:rsidP="00815AF1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B50AC5">
        <w:rPr>
          <w:rFonts w:ascii="GHEA Grapalat" w:hAnsi="GHEA Grapalat" w:cs="Sylfaen"/>
          <w:lang w:val="hy-AM"/>
        </w:rPr>
        <w:t>Diallo T, Adjobimey M, Ruslami R, Trajman A, Sow O, Obeng Baah J et al. Safety and side effects of rifampin versus isoniazid in children. N Engl J Med. 2018;379(5):454–63. doi:10.1056/NEJMoa1714284.</w:t>
      </w:r>
    </w:p>
    <w:p w14:paraId="63B8CD81" w14:textId="2A2F9033" w:rsidR="00011AA5" w:rsidRPr="00F8571F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Դիալո Տ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Աջոբիմեյ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Ռուսլամի Ռ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Տրաջման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Սոու Օ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Օբենգ Բաա Ջ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Ռիֆամպինի և իզոնիազիդի անվտանգությունն ու կողմնակի ազդեցությունները երեխաների մոտ։ </w:t>
      </w:r>
      <w:r w:rsidRPr="00011AA5">
        <w:rPr>
          <w:rFonts w:ascii="GHEA Grapalat" w:hAnsi="GHEA Grapalat" w:cs="Sylfaen"/>
          <w:i/>
          <w:iCs/>
          <w:lang w:val="hy-AM"/>
        </w:rPr>
        <w:t>Նյու Անգլիային բժշկական ամսագիր</w:t>
      </w:r>
      <w:r w:rsidRPr="00011AA5">
        <w:rPr>
          <w:rFonts w:ascii="GHEA Grapalat" w:hAnsi="GHEA Grapalat" w:cs="Sylfaen"/>
          <w:lang w:val="hy-AM"/>
        </w:rPr>
        <w:t xml:space="preserve">, 2018; 379(5):454–463։ </w:t>
      </w:r>
      <w:r w:rsidRPr="00011AA5">
        <w:rPr>
          <w:rFonts w:ascii="GHEA Grapalat" w:hAnsi="GHEA Grapalat" w:cs="Sylfaen"/>
        </w:rPr>
        <w:t>https://doi.org/10.1056/NEJMoa1714284</w:t>
      </w:r>
    </w:p>
    <w:p w14:paraId="371BF991" w14:textId="77777777" w:rsidR="00B50AC5" w:rsidRPr="00F8571F" w:rsidRDefault="00B50AC5" w:rsidP="00815AF1">
      <w:pPr>
        <w:pStyle w:val="ListParagraph"/>
        <w:ind w:left="0"/>
        <w:jc w:val="both"/>
        <w:rPr>
          <w:rFonts w:ascii="GHEA Grapalat" w:hAnsi="GHEA Grapalat" w:cs="Sylfaen"/>
          <w:lang w:val="hy-AM"/>
        </w:rPr>
      </w:pPr>
    </w:p>
    <w:p w14:paraId="43CFE776" w14:textId="4A1BF60C" w:rsidR="00B50AC5" w:rsidRDefault="00B50AC5" w:rsidP="00815AF1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>Menzies D, Long R, Trajman A, Dion MJ, Yang J, Al Jahdali H et al. Adverse events with 4 months of rifampin therapy or 9 months of isoniazid therapy for latent tuberculosis infection: a randomized trial. Ann Intern Med. 2008;149(10):689–97. doi:10.7326/0003-4819-149-10-200811180-00003</w:t>
      </w:r>
      <w:r w:rsidRPr="00AB75D7">
        <w:rPr>
          <w:rFonts w:ascii="GHEA Grapalat" w:hAnsi="GHEA Grapalat" w:cs="Sylfaen"/>
          <w:lang w:val="hy-AM"/>
        </w:rPr>
        <w:t>.</w:t>
      </w:r>
    </w:p>
    <w:p w14:paraId="14FDFF71" w14:textId="173CF27D" w:rsidR="00011AA5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Մենզիես Դ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Լոնգ Ռ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Տրաջման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Դիոն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Ժ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Յանգ Ջ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Ալ Ջահդալի Հ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Կողմնակի ազդեցությունները թաքնված տուբերկուլյոզի բուժման ժամանակ՝ ռիֆամպինի 4-ամսյա կամ իզոնիազիդի 9-ամսյա բուժման պարագայում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ռանդոմիզացված հետազոտություն։ </w:t>
      </w:r>
      <w:r w:rsidRPr="00011AA5">
        <w:rPr>
          <w:rFonts w:ascii="GHEA Grapalat" w:hAnsi="GHEA Grapalat" w:cs="Sylfaen"/>
          <w:i/>
          <w:iCs/>
        </w:rPr>
        <w:t>Annals of Internal Medicine</w:t>
      </w:r>
      <w:r w:rsidRPr="00011AA5">
        <w:rPr>
          <w:rFonts w:ascii="GHEA Grapalat" w:hAnsi="GHEA Grapalat" w:cs="Sylfaen"/>
        </w:rPr>
        <w:t>, 2008; 149(10):689–697։ https://doi.org/10.7326/0003-4819-149-10-200811180-00003</w:t>
      </w:r>
    </w:p>
    <w:p w14:paraId="364010A8" w14:textId="77777777" w:rsidR="00AB75D7" w:rsidRPr="00AB75D7" w:rsidRDefault="00AB75D7" w:rsidP="00815AF1">
      <w:pPr>
        <w:pStyle w:val="ListParagraph"/>
        <w:ind w:left="-450"/>
        <w:jc w:val="both"/>
        <w:rPr>
          <w:rFonts w:ascii="GHEA Grapalat" w:hAnsi="GHEA Grapalat" w:cs="Sylfaen"/>
          <w:lang w:val="hy-AM"/>
        </w:rPr>
      </w:pPr>
    </w:p>
    <w:p w14:paraId="3CD619D7" w14:textId="77777777" w:rsidR="005D0892" w:rsidRDefault="005D0892" w:rsidP="00815AF1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>van Zyl S, Marais BJ, Hesseling AC, Gie RP, Beyers N, Schaaf HS. Adherence to anti–tuberculosis chemoprophylaxis and treatment in children. Int J Tuberc Lung Dis. 2006;10(1):13–8. PMID:16466031.</w:t>
      </w:r>
    </w:p>
    <w:p w14:paraId="23FFE56A" w14:textId="0AB4CBC6" w:rsidR="00011AA5" w:rsidRPr="00F8571F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վան Զիլ Ս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Մարայս Բ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Ջ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Հեսելինգ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Կ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Գիե Ռ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Պ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Բեյերս Ն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Շաաֆ Հ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Ս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Հակատուբերկուլյոզային քիմիոպրոֆիլակտիկայի և բուժման նկատմամբ հավատարիմ մնալը երեխաների շրջանում։ </w:t>
      </w:r>
      <w:r w:rsidRPr="00011AA5">
        <w:rPr>
          <w:rFonts w:ascii="GHEA Grapalat" w:hAnsi="GHEA Grapalat" w:cs="Sylfaen"/>
          <w:i/>
          <w:iCs/>
        </w:rPr>
        <w:t>International Journal of Tuberculosis and Lung Disease</w:t>
      </w:r>
      <w:r w:rsidRPr="00011AA5">
        <w:rPr>
          <w:rFonts w:ascii="GHEA Grapalat" w:hAnsi="GHEA Grapalat" w:cs="Sylfaen"/>
        </w:rPr>
        <w:t>, 2006; 10(1):13–18։ PMID: 16466031</w:t>
      </w:r>
    </w:p>
    <w:p w14:paraId="5E1EBF01" w14:textId="77777777" w:rsidR="00B50AC5" w:rsidRPr="00F8571F" w:rsidRDefault="00B50AC5" w:rsidP="00815AF1">
      <w:pPr>
        <w:pStyle w:val="ListParagraph"/>
        <w:ind w:left="0"/>
        <w:jc w:val="both"/>
        <w:rPr>
          <w:rFonts w:ascii="GHEA Grapalat" w:hAnsi="GHEA Grapalat" w:cs="Sylfaen"/>
          <w:lang w:val="hy-AM"/>
        </w:rPr>
      </w:pPr>
    </w:p>
    <w:p w14:paraId="5C9267B2" w14:textId="77777777" w:rsidR="00B50AC5" w:rsidRDefault="00B50AC5" w:rsidP="00103F18">
      <w:pPr>
        <w:pStyle w:val="ListParagraph"/>
        <w:numPr>
          <w:ilvl w:val="0"/>
          <w:numId w:val="14"/>
        </w:numPr>
        <w:ind w:left="1080"/>
        <w:jc w:val="both"/>
        <w:rPr>
          <w:rFonts w:ascii="GHEA Grapalat" w:hAnsi="GHEA Grapalat" w:cs="Sylfaen"/>
          <w:lang w:val="hy-AM"/>
        </w:rPr>
      </w:pPr>
      <w:r w:rsidRPr="00F8571F">
        <w:rPr>
          <w:rFonts w:ascii="GHEA Grapalat" w:hAnsi="GHEA Grapalat" w:cs="Sylfaen"/>
          <w:lang w:val="hy-AM"/>
        </w:rPr>
        <w:t xml:space="preserve">Spyridis NP, Spyridis PG, Gelesme A, Sypsa V, Valianatou M, Metsou F et al. The effectiveness of a 9–month regimen of isoniazid alone versus 3– and 4–month regimens of isoniazid plus rifampin for treatment of latent tuberculosis infection in children: results of an 11–year randomized study. Clin Infect Dis. 2007;45(6):715–22. doi:10.1086/520983. </w:t>
      </w:r>
    </w:p>
    <w:p w14:paraId="66F373FA" w14:textId="60EF4876" w:rsidR="00011AA5" w:rsidRPr="00F8571F" w:rsidRDefault="00011AA5" w:rsidP="00011AA5">
      <w:pPr>
        <w:pStyle w:val="ListParagraph"/>
        <w:ind w:left="1080"/>
        <w:jc w:val="both"/>
        <w:rPr>
          <w:rFonts w:ascii="GHEA Grapalat" w:hAnsi="GHEA Grapalat" w:cs="Sylfaen"/>
          <w:lang w:val="hy-AM"/>
        </w:rPr>
      </w:pPr>
      <w:r w:rsidRPr="00011AA5">
        <w:rPr>
          <w:rFonts w:ascii="GHEA Grapalat" w:hAnsi="GHEA Grapalat" w:cs="Sylfaen"/>
          <w:lang w:val="hy-AM"/>
        </w:rPr>
        <w:t>Սպիրիդիս Ն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Պ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Սպիրիդիս Պ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Գ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Գելեսմե Ա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Սիպսա Վ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Վալիանատու Մ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>, Մեցու Ֆ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և այլք։ Իզոնիազիդի 9-ամսյա սխեմայի և իզոնիազիդ+րիֆամպինի 3 և 4-ամսյա սխեմաների արդյունավետությունը թաքնված տուբերկուլյոզի բուժման </w:t>
      </w:r>
      <w:r w:rsidRPr="00011AA5">
        <w:rPr>
          <w:rFonts w:ascii="GHEA Grapalat" w:hAnsi="GHEA Grapalat" w:cs="Sylfaen"/>
          <w:lang w:val="hy-AM"/>
        </w:rPr>
        <w:lastRenderedPageBreak/>
        <w:t>ժամանակ երեխաների մոտ</w:t>
      </w:r>
      <w:r w:rsidRPr="00011AA5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011AA5">
        <w:rPr>
          <w:rFonts w:ascii="GHEA Grapalat" w:hAnsi="GHEA Grapalat" w:cs="Sylfaen"/>
          <w:lang w:val="hy-AM"/>
        </w:rPr>
        <w:t xml:space="preserve"> 11-ամյա ռանդոմիզացված հետազոտության արդյունքներ։ </w:t>
      </w:r>
      <w:r w:rsidRPr="00011AA5">
        <w:rPr>
          <w:rFonts w:ascii="GHEA Grapalat" w:hAnsi="GHEA Grapalat" w:cs="Sylfaen"/>
          <w:i/>
          <w:iCs/>
        </w:rPr>
        <w:t>Clinical Infectious Diseases</w:t>
      </w:r>
      <w:r w:rsidRPr="00011AA5">
        <w:rPr>
          <w:rFonts w:ascii="GHEA Grapalat" w:hAnsi="GHEA Grapalat" w:cs="Sylfaen"/>
        </w:rPr>
        <w:t>, 2007; 45(6):715–722։ https://doi.org/10.1086/520983</w:t>
      </w:r>
    </w:p>
    <w:p w14:paraId="2F0FAF01" w14:textId="77777777" w:rsidR="00882E94" w:rsidRPr="005D0892" w:rsidRDefault="00882E94" w:rsidP="00AB75D7">
      <w:pPr>
        <w:pStyle w:val="ListParagraph"/>
        <w:jc w:val="both"/>
        <w:rPr>
          <w:rFonts w:ascii="GHEA Grapalat" w:hAnsi="GHEA Grapalat" w:cs="Sylfaen"/>
          <w:lang w:val="hy-AM"/>
        </w:rPr>
      </w:pPr>
    </w:p>
    <w:p w14:paraId="37F485E8" w14:textId="7483E4FB" w:rsidR="006D143D" w:rsidRPr="00AB75D7" w:rsidRDefault="006D143D" w:rsidP="00AB75D7">
      <w:pPr>
        <w:jc w:val="both"/>
        <w:rPr>
          <w:rFonts w:ascii="GHEA Grapalat" w:hAnsi="GHEA Grapalat" w:cs="Sylfaen"/>
          <w:lang w:val="hy-AM"/>
        </w:rPr>
      </w:pPr>
    </w:p>
    <w:sectPr w:rsidR="006D143D" w:rsidRPr="00AB75D7">
      <w:pgSz w:w="15840" w:h="12240" w:orient="landscape"/>
      <w:pgMar w:top="851" w:right="958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53AD27"/>
    <w:multiLevelType w:val="hybridMultilevel"/>
    <w:tmpl w:val="4C3B465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36B72"/>
    <w:multiLevelType w:val="hybridMultilevel"/>
    <w:tmpl w:val="A596E086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05C75477"/>
    <w:multiLevelType w:val="multilevel"/>
    <w:tmpl w:val="298C399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1BEE"/>
    <w:multiLevelType w:val="multilevel"/>
    <w:tmpl w:val="5D226AFE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708D"/>
    <w:multiLevelType w:val="hybridMultilevel"/>
    <w:tmpl w:val="31CA94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E3D4B"/>
    <w:multiLevelType w:val="multilevel"/>
    <w:tmpl w:val="46745D98"/>
    <w:lvl w:ilvl="0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AD00D0"/>
    <w:multiLevelType w:val="hybridMultilevel"/>
    <w:tmpl w:val="A4EEA8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73A1"/>
    <w:multiLevelType w:val="hybridMultilevel"/>
    <w:tmpl w:val="FE7048B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8277E9"/>
    <w:multiLevelType w:val="hybridMultilevel"/>
    <w:tmpl w:val="0484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E5B71"/>
    <w:multiLevelType w:val="hybridMultilevel"/>
    <w:tmpl w:val="9EC698E8"/>
    <w:lvl w:ilvl="0" w:tplc="CA828758">
      <w:start w:val="1"/>
      <w:numFmt w:val="decimal"/>
      <w:lvlText w:val="%1)"/>
      <w:lvlJc w:val="left"/>
      <w:pPr>
        <w:ind w:left="1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0" w15:restartNumberingAfterBreak="0">
    <w:nsid w:val="2BDC4E81"/>
    <w:multiLevelType w:val="hybridMultilevel"/>
    <w:tmpl w:val="FD1C9F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82CFF"/>
    <w:multiLevelType w:val="hybridMultilevel"/>
    <w:tmpl w:val="0484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1755"/>
    <w:multiLevelType w:val="hybridMultilevel"/>
    <w:tmpl w:val="B46ABD9E"/>
    <w:lvl w:ilvl="0" w:tplc="04090011">
      <w:start w:val="1"/>
      <w:numFmt w:val="decimal"/>
      <w:lvlText w:val="%1)"/>
      <w:lvlJc w:val="left"/>
      <w:pPr>
        <w:ind w:left="656" w:hanging="360"/>
      </w:p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3" w15:restartNumberingAfterBreak="0">
    <w:nsid w:val="3D843F7F"/>
    <w:multiLevelType w:val="multilevel"/>
    <w:tmpl w:val="6CB4CB6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2C70"/>
    <w:multiLevelType w:val="hybridMultilevel"/>
    <w:tmpl w:val="0E6819D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49516378"/>
    <w:multiLevelType w:val="hybridMultilevel"/>
    <w:tmpl w:val="9634ED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E607A"/>
    <w:multiLevelType w:val="multilevel"/>
    <w:tmpl w:val="F222C0D0"/>
    <w:lvl w:ilvl="0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10690E"/>
    <w:multiLevelType w:val="hybridMultilevel"/>
    <w:tmpl w:val="356A7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4041A"/>
    <w:multiLevelType w:val="hybridMultilevel"/>
    <w:tmpl w:val="0484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4786B"/>
    <w:multiLevelType w:val="hybridMultilevel"/>
    <w:tmpl w:val="CD24523E"/>
    <w:lvl w:ilvl="0" w:tplc="04090011">
      <w:start w:val="1"/>
      <w:numFmt w:val="decimal"/>
      <w:lvlText w:val="%1)"/>
      <w:lvlJc w:val="left"/>
      <w:pPr>
        <w:ind w:left="22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6FB66C9E"/>
    <w:multiLevelType w:val="hybridMultilevel"/>
    <w:tmpl w:val="04848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544D4"/>
    <w:multiLevelType w:val="hybridMultilevel"/>
    <w:tmpl w:val="A596E086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 w15:restartNumberingAfterBreak="0">
    <w:nsid w:val="753E1E91"/>
    <w:multiLevelType w:val="multilevel"/>
    <w:tmpl w:val="972A8A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821787">
    <w:abstractNumId w:val="3"/>
  </w:num>
  <w:num w:numId="2" w16cid:durableId="1390373865">
    <w:abstractNumId w:val="5"/>
  </w:num>
  <w:num w:numId="3" w16cid:durableId="1832213988">
    <w:abstractNumId w:val="2"/>
  </w:num>
  <w:num w:numId="4" w16cid:durableId="1989628403">
    <w:abstractNumId w:val="22"/>
  </w:num>
  <w:num w:numId="5" w16cid:durableId="1755741008">
    <w:abstractNumId w:val="21"/>
  </w:num>
  <w:num w:numId="6" w16cid:durableId="1812168083">
    <w:abstractNumId w:val="17"/>
  </w:num>
  <w:num w:numId="7" w16cid:durableId="1147624223">
    <w:abstractNumId w:val="18"/>
  </w:num>
  <w:num w:numId="8" w16cid:durableId="1164012092">
    <w:abstractNumId w:val="14"/>
  </w:num>
  <w:num w:numId="9" w16cid:durableId="900943041">
    <w:abstractNumId w:val="20"/>
  </w:num>
  <w:num w:numId="10" w16cid:durableId="1193229235">
    <w:abstractNumId w:val="8"/>
  </w:num>
  <w:num w:numId="11" w16cid:durableId="1257397681">
    <w:abstractNumId w:val="0"/>
  </w:num>
  <w:num w:numId="12" w16cid:durableId="336544362">
    <w:abstractNumId w:val="7"/>
  </w:num>
  <w:num w:numId="13" w16cid:durableId="402873224">
    <w:abstractNumId w:val="11"/>
  </w:num>
  <w:num w:numId="14" w16cid:durableId="1528182527">
    <w:abstractNumId w:val="1"/>
  </w:num>
  <w:num w:numId="15" w16cid:durableId="1445953274">
    <w:abstractNumId w:val="15"/>
  </w:num>
  <w:num w:numId="16" w16cid:durableId="200870695">
    <w:abstractNumId w:val="19"/>
  </w:num>
  <w:num w:numId="17" w16cid:durableId="33040060">
    <w:abstractNumId w:val="10"/>
  </w:num>
  <w:num w:numId="18" w16cid:durableId="2019311590">
    <w:abstractNumId w:val="6"/>
  </w:num>
  <w:num w:numId="19" w16cid:durableId="1479767450">
    <w:abstractNumId w:val="9"/>
  </w:num>
  <w:num w:numId="20" w16cid:durableId="951857765">
    <w:abstractNumId w:val="12"/>
  </w:num>
  <w:num w:numId="21" w16cid:durableId="1549682649">
    <w:abstractNumId w:val="4"/>
  </w:num>
  <w:num w:numId="22" w16cid:durableId="1211772078">
    <w:abstractNumId w:val="16"/>
  </w:num>
  <w:num w:numId="23" w16cid:durableId="9075717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3D"/>
    <w:rsid w:val="00011AA5"/>
    <w:rsid w:val="0001303E"/>
    <w:rsid w:val="000161F3"/>
    <w:rsid w:val="00056748"/>
    <w:rsid w:val="00071956"/>
    <w:rsid w:val="000D295F"/>
    <w:rsid w:val="00103F18"/>
    <w:rsid w:val="00144208"/>
    <w:rsid w:val="001469F7"/>
    <w:rsid w:val="00153386"/>
    <w:rsid w:val="00174791"/>
    <w:rsid w:val="0017756D"/>
    <w:rsid w:val="00183DD8"/>
    <w:rsid w:val="001B6E57"/>
    <w:rsid w:val="001E5C93"/>
    <w:rsid w:val="00200976"/>
    <w:rsid w:val="00211DEC"/>
    <w:rsid w:val="00231A4F"/>
    <w:rsid w:val="002539A2"/>
    <w:rsid w:val="00271A72"/>
    <w:rsid w:val="002B2A8A"/>
    <w:rsid w:val="002E1063"/>
    <w:rsid w:val="003202BB"/>
    <w:rsid w:val="00362B25"/>
    <w:rsid w:val="0036373F"/>
    <w:rsid w:val="00384D9F"/>
    <w:rsid w:val="003C56F4"/>
    <w:rsid w:val="003E5D48"/>
    <w:rsid w:val="004165C7"/>
    <w:rsid w:val="004609F1"/>
    <w:rsid w:val="004A4CA5"/>
    <w:rsid w:val="004B6183"/>
    <w:rsid w:val="004C4253"/>
    <w:rsid w:val="004C6ABA"/>
    <w:rsid w:val="004D04E8"/>
    <w:rsid w:val="004D3E24"/>
    <w:rsid w:val="004D5529"/>
    <w:rsid w:val="004E211C"/>
    <w:rsid w:val="004E5C0C"/>
    <w:rsid w:val="004F2314"/>
    <w:rsid w:val="005123F6"/>
    <w:rsid w:val="00530ED4"/>
    <w:rsid w:val="005702D3"/>
    <w:rsid w:val="00572CAB"/>
    <w:rsid w:val="005D0892"/>
    <w:rsid w:val="005D66CC"/>
    <w:rsid w:val="005F41A3"/>
    <w:rsid w:val="00645C6C"/>
    <w:rsid w:val="00686544"/>
    <w:rsid w:val="00690922"/>
    <w:rsid w:val="006A22BF"/>
    <w:rsid w:val="006D143D"/>
    <w:rsid w:val="007140D6"/>
    <w:rsid w:val="007171F0"/>
    <w:rsid w:val="00752E52"/>
    <w:rsid w:val="0076252D"/>
    <w:rsid w:val="00772849"/>
    <w:rsid w:val="0077516E"/>
    <w:rsid w:val="007D5AA6"/>
    <w:rsid w:val="00815AF1"/>
    <w:rsid w:val="008359E2"/>
    <w:rsid w:val="00855FC0"/>
    <w:rsid w:val="00857240"/>
    <w:rsid w:val="008614A1"/>
    <w:rsid w:val="008804C2"/>
    <w:rsid w:val="008823BE"/>
    <w:rsid w:val="00882E94"/>
    <w:rsid w:val="00891E88"/>
    <w:rsid w:val="008A3A8D"/>
    <w:rsid w:val="008D7D1E"/>
    <w:rsid w:val="008F0A91"/>
    <w:rsid w:val="008F7F63"/>
    <w:rsid w:val="00910D6B"/>
    <w:rsid w:val="009150E9"/>
    <w:rsid w:val="009231EC"/>
    <w:rsid w:val="00931E82"/>
    <w:rsid w:val="00940B7E"/>
    <w:rsid w:val="009667A2"/>
    <w:rsid w:val="00980CC0"/>
    <w:rsid w:val="00980D6B"/>
    <w:rsid w:val="009852DE"/>
    <w:rsid w:val="009C59D3"/>
    <w:rsid w:val="00A05F11"/>
    <w:rsid w:val="00A26F8B"/>
    <w:rsid w:val="00A76AFE"/>
    <w:rsid w:val="00AB75D7"/>
    <w:rsid w:val="00AE024E"/>
    <w:rsid w:val="00B23BF8"/>
    <w:rsid w:val="00B30B65"/>
    <w:rsid w:val="00B46540"/>
    <w:rsid w:val="00B50AC5"/>
    <w:rsid w:val="00B51DD0"/>
    <w:rsid w:val="00B5577D"/>
    <w:rsid w:val="00BE1AB1"/>
    <w:rsid w:val="00C220B5"/>
    <w:rsid w:val="00C738E3"/>
    <w:rsid w:val="00CA35A0"/>
    <w:rsid w:val="00CB5D35"/>
    <w:rsid w:val="00CD34D8"/>
    <w:rsid w:val="00D0077F"/>
    <w:rsid w:val="00D5364C"/>
    <w:rsid w:val="00DC031F"/>
    <w:rsid w:val="00DD0E5E"/>
    <w:rsid w:val="00DE1F78"/>
    <w:rsid w:val="00DE39AE"/>
    <w:rsid w:val="00DE5BEC"/>
    <w:rsid w:val="00DF670C"/>
    <w:rsid w:val="00E25CC8"/>
    <w:rsid w:val="00E33CDC"/>
    <w:rsid w:val="00E47EEE"/>
    <w:rsid w:val="00E54C40"/>
    <w:rsid w:val="00E572EA"/>
    <w:rsid w:val="00E576C1"/>
    <w:rsid w:val="00E9705A"/>
    <w:rsid w:val="00EA5C41"/>
    <w:rsid w:val="00ED4854"/>
    <w:rsid w:val="00EE0B36"/>
    <w:rsid w:val="00F04F6A"/>
    <w:rsid w:val="00F16976"/>
    <w:rsid w:val="00F353EA"/>
    <w:rsid w:val="00F8571F"/>
    <w:rsid w:val="00F86CC8"/>
    <w:rsid w:val="00F90016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C29C0"/>
  <w15:docId w15:val="{078B58F6-B28D-4ED5-961B-9F91E4F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C9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ED4"/>
    <w:pPr>
      <w:keepNext/>
      <w:keepLines/>
      <w:spacing w:before="360" w:after="40" w:line="240" w:lineRule="auto"/>
      <w:ind w:left="432" w:hanging="432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qFormat/>
    <w:rsid w:val="000E6CC0"/>
    <w:rPr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qFormat/>
    <w:rsid w:val="000E6CC0"/>
    <w:rPr>
      <w:sz w:val="22"/>
      <w:szCs w:val="22"/>
      <w:lang w:val="en-US" w:eastAsia="en-US"/>
    </w:rPr>
  </w:style>
  <w:style w:type="character" w:customStyle="1" w:styleId="FootnoteTextChar">
    <w:name w:val="Footnote Text Char"/>
    <w:link w:val="FootnoteText"/>
    <w:uiPriority w:val="99"/>
    <w:semiHidden/>
    <w:qFormat/>
    <w:rsid w:val="00A67B20"/>
    <w:rPr>
      <w:lang w:val="en-US" w:eastAsia="en-US"/>
    </w:rPr>
  </w:style>
  <w:style w:type="character" w:customStyle="1" w:styleId="a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A67B20"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sid w:val="00EF0D92"/>
    <w:rPr>
      <w:rFonts w:ascii="Tahoma" w:hAnsi="Tahoma" w:cs="Tahoma"/>
      <w:sz w:val="16"/>
      <w:szCs w:val="16"/>
      <w:lang w:val="en-US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GHEA Grapalat" w:hAnsi="GHEA Grapalat" w:cs="Times New Roman"/>
      <w:sz w:val="24"/>
      <w:szCs w:val="24"/>
    </w:rPr>
  </w:style>
  <w:style w:type="character" w:customStyle="1" w:styleId="ListLabel5">
    <w:name w:val="ListLabel 5"/>
    <w:qFormat/>
    <w:rPr>
      <w:rFonts w:ascii="GHEA Grapalat" w:hAnsi="GHEA Grapalat" w:cs="Times New Roman"/>
      <w:sz w:val="24"/>
      <w:szCs w:val="24"/>
    </w:rPr>
  </w:style>
  <w:style w:type="character" w:customStyle="1" w:styleId="ListLabel6">
    <w:name w:val="ListLabel 6"/>
    <w:qFormat/>
    <w:rPr>
      <w:rFonts w:ascii="GHEA Grapalat" w:hAnsi="GHEA Grapalat" w:cs="Times New Roman"/>
      <w:sz w:val="24"/>
      <w:szCs w:val="24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6E6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CC0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0E6CC0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7B2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F0D9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1786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2">
    <w:name w:val="Содержимое таблицы"/>
    <w:basedOn w:val="Normal"/>
    <w:qFormat/>
    <w:pPr>
      <w:suppressLineNumbers/>
    </w:pPr>
  </w:style>
  <w:style w:type="paragraph" w:customStyle="1" w:styleId="a3">
    <w:name w:val="Заголовок таблицы"/>
    <w:basedOn w:val="a2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0">
    <w:name w:val="A0"/>
    <w:uiPriority w:val="99"/>
    <w:rsid w:val="00530ED4"/>
    <w:rPr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0ED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Pa20">
    <w:name w:val="Pa20"/>
    <w:basedOn w:val="Normal"/>
    <w:next w:val="Normal"/>
    <w:uiPriority w:val="99"/>
    <w:rsid w:val="004D04E8"/>
    <w:pPr>
      <w:autoSpaceDE w:val="0"/>
      <w:autoSpaceDN w:val="0"/>
      <w:adjustRightInd w:val="0"/>
      <w:spacing w:after="0" w:line="201" w:lineRule="atLeast"/>
    </w:pPr>
    <w:rPr>
      <w:rFonts w:ascii="Segoe UI Light" w:hAnsi="Segoe UI Light" w:cs="Segoe UI Light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F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F6A"/>
    <w:rPr>
      <w:b/>
      <w:bCs/>
    </w:rPr>
  </w:style>
  <w:style w:type="paragraph" w:styleId="NoSpacing">
    <w:name w:val="No Spacing"/>
    <w:link w:val="NoSpacingChar"/>
    <w:uiPriority w:val="1"/>
    <w:qFormat/>
    <w:rsid w:val="00F16976"/>
    <w:rPr>
      <w:rFonts w:asciiTheme="minorHAnsi" w:eastAsiaTheme="minorEastAsia" w:hAnsiTheme="minorHAnsi" w:cstheme="minorBid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F16976"/>
    <w:rPr>
      <w:rFonts w:asciiTheme="minorHAnsi" w:eastAsiaTheme="minorEastAsia" w:hAnsiTheme="minorHAnsi" w:cstheme="minorBidi"/>
      <w:sz w:val="21"/>
      <w:szCs w:val="21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F16976"/>
    <w:rPr>
      <w:sz w:val="22"/>
      <w:szCs w:val="22"/>
    </w:rPr>
  </w:style>
  <w:style w:type="paragraph" w:customStyle="1" w:styleId="Default">
    <w:name w:val="Default"/>
    <w:rsid w:val="00B50AC5"/>
    <w:pPr>
      <w:autoSpaceDE w:val="0"/>
      <w:autoSpaceDN w:val="0"/>
      <w:adjustRightInd w:val="0"/>
    </w:pPr>
    <w:rPr>
      <w:rFonts w:ascii="Segoe UI Light" w:hAnsi="Segoe UI Light" w:cs="Segoe UI Light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539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3ABB-ECF1-4F2F-A04D-52EE1103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>https:/mul2-moh.gov.am/tasks/1035440/oneclick?token=d5fd7189e1cfaa65a6e78e827613beca</cp:keywords>
  <dc:description/>
  <cp:lastModifiedBy>Lusine Khazarian</cp:lastModifiedBy>
  <cp:revision>6</cp:revision>
  <cp:lastPrinted>2023-10-04T09:53:00Z</cp:lastPrinted>
  <dcterms:created xsi:type="dcterms:W3CDTF">2026-01-18T19:39:00Z</dcterms:created>
  <dcterms:modified xsi:type="dcterms:W3CDTF">2026-02-02T14:02:00Z</dcterms:modified>
  <dc:language>hy-AM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9d651ddd-b9f3-47ec-8060-8b2e38a6fe31</vt:lpwstr>
  </property>
</Properties>
</file>