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Look w:val="04A0" w:firstRow="1" w:lastRow="0" w:firstColumn="1" w:lastColumn="0" w:noHBand="0" w:noVBand="1"/>
      </w:tblPr>
      <w:tblGrid>
        <w:gridCol w:w="649"/>
        <w:gridCol w:w="2545"/>
        <w:gridCol w:w="2187"/>
        <w:gridCol w:w="1484"/>
        <w:gridCol w:w="1012"/>
        <w:gridCol w:w="1201"/>
        <w:gridCol w:w="1722"/>
      </w:tblGrid>
      <w:tr w:rsidR="00160ADF" w:rsidRPr="00160ADF" w:rsidTr="00160ADF">
        <w:trPr>
          <w:trHeight w:val="1260"/>
        </w:trPr>
        <w:tc>
          <w:tcPr>
            <w:tcW w:w="10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ADF" w:rsidRDefault="00160ADF" w:rsidP="00160ADF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ՀԱՎԵԼԱՎԾ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br/>
              <w:t xml:space="preserve">                                                                                                                              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Ապարան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համայնքի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ավագանու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br/>
              <w:t xml:space="preserve">                                                                                                                                 23.12.2024թ.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թիվ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206-Ն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որոշման</w:t>
            </w:r>
            <w:proofErr w:type="spellEnd"/>
          </w:p>
          <w:p w:rsidR="00160ADF" w:rsidRPr="00160ADF" w:rsidRDefault="00160ADF" w:rsidP="00160ADF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«ԱՊԱՐԱՆ   ՀԱՄԱՅՆՔԻ 2024 Թ. ԲՅՈՒՋԵԻ ՖՈՆԴԱՅԻՆ ԵՎ ՎԱՐՉԱԿԱՆ ՄԱՍԵՐԻ ԵԿԱՄՏԱՅԻՆ ԵՎ ԾԱԽՍԱՅԻՆ ՀՈԴՎԱԾՆԵՐՈՒՄ ԱՎԵԼԱՑՈՒՄՆԵՐ ԿԱՏԱՐԵԼՈՒ ԵՎ</w:t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br/>
              <w:t>ԱՊԱՐԱՆ  ՀԱՄԱՅՆՔԻ ԱՎԱԳԱՆՈՒ 22.12.2023Թ.  N   161-Ն ՈՐՈՇՄԱՆ ՄԵՋ</w:t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br/>
              <w:t>ՓՈՓՈԽՈՒԹՅՈՒՆՆԵՐ ԿԱՏԱՐԵԼՈՒ ՄԱՍԻՆ</w:t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br/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br/>
              <w:t xml:space="preserve">                                                                                                                                                      (</w:t>
            </w:r>
            <w:bookmarkStart w:id="0" w:name="_GoBack"/>
            <w:bookmarkEnd w:id="0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  <w:t>հազար դրամով)</w:t>
            </w:r>
          </w:p>
        </w:tc>
      </w:tr>
      <w:tr w:rsidR="00160ADF" w:rsidRPr="00160ADF" w:rsidTr="00160ADF">
        <w:trPr>
          <w:trHeight w:val="290"/>
        </w:trPr>
        <w:tc>
          <w:tcPr>
            <w:tcW w:w="10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</w:pPr>
          </w:p>
        </w:tc>
      </w:tr>
      <w:tr w:rsidR="00160ADF" w:rsidRPr="00160ADF" w:rsidTr="00160ADF">
        <w:trPr>
          <w:trHeight w:val="2355"/>
        </w:trPr>
        <w:tc>
          <w:tcPr>
            <w:tcW w:w="10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hy-AM" w:eastAsia="ru-RU"/>
              </w:rPr>
            </w:pPr>
          </w:p>
        </w:tc>
      </w:tr>
      <w:tr w:rsidR="00160ADF" w:rsidRPr="00160ADF" w:rsidTr="00160ADF">
        <w:trPr>
          <w:trHeight w:val="4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</w:tr>
      <w:tr w:rsidR="00160ADF" w:rsidRPr="00160ADF" w:rsidTr="00160ADF">
        <w:trPr>
          <w:trHeight w:val="36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NN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Բյուջետային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ծախսերի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տնտեսագիտական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դասակարգման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հոդվածների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NN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(ս.5+ս.6)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</w:p>
        </w:tc>
      </w:tr>
      <w:tr w:rsidR="00160ADF" w:rsidRPr="00160ADF" w:rsidTr="00160ADF">
        <w:trPr>
          <w:trHeight w:val="5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վարչական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մաս</w:t>
            </w:r>
            <w:proofErr w:type="spellEnd"/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ֆոնդային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մաս</w:t>
            </w:r>
            <w:proofErr w:type="spellEnd"/>
          </w:p>
        </w:tc>
      </w:tr>
      <w:tr w:rsidR="00160ADF" w:rsidRPr="00160ADF" w:rsidTr="00160ADF">
        <w:trPr>
          <w:trHeight w:val="360"/>
        </w:trPr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60ADF" w:rsidRPr="00160ADF" w:rsidTr="00160ADF">
        <w:trPr>
          <w:trHeight w:val="123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 ԾԱԽՍԵՐ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4050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5000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6000)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829489.706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827109.7</w:t>
            </w:r>
          </w:p>
        </w:tc>
      </w:tr>
      <w:tr w:rsidR="00160ADF" w:rsidRPr="00160ADF" w:rsidTr="00160ADF">
        <w:trPr>
          <w:trHeight w:val="123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Ա. ԸՆԹԱՑԻԿ ԾԱԽՍԵՐ՝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4100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4200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4300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4400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4600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4700)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0ADF" w:rsidRPr="00160ADF" w:rsidTr="00160ADF">
        <w:trPr>
          <w:trHeight w:val="123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1.5 ԴՐԱՄԱՇՆՈՐՀՆԵՐ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4510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4520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4530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4540),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0ADF" w:rsidRPr="00160ADF" w:rsidTr="00160ADF">
        <w:trPr>
          <w:trHeight w:val="85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ԸՆԹԱՑԻԿ ԴՐԱՄԱՇՆՈՐՀՆԵՐ ՊԵՏԱԿԱՆ ՀԱՏՎԱԾԻ ԱՅԼ ՄԱԿԱՐԴԱԿՆԵՐԻՆ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4531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4532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4533),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 w:rsidR="00160ADF" w:rsidRPr="00160ADF" w:rsidTr="00160ADF">
        <w:trPr>
          <w:trHeight w:val="94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Ընթացիկ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դրամաշնորհներ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համայնքների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առևտրային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կազմակերպություններին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Բ. ՈՉ ՖԻՆԱՆՍԱԿԱՆ ԱԿՏԻՎՆԵՐԻ ԳԾՈՎ ԾԱԽՍԵՐ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5200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5300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5400),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825609.706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827109.706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1.1. ՀԻՄՆԱԿԱՆ ՄԻՋՈՑՆԵՐ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5110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5120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5130),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825609.706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827109.706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ՇԵՆՔԵՐ ԵՎ ՇԻՆՈՒԹՅՈՒՆՆԵՐ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5111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5112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5113),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825609.706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825609.706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5112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Շենքերի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կառուցում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5112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3024.000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Շենքերի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վերանորոգում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822585.706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5130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ԱՅԼ ՀԻՄՆԱԿԱՆ ՄԻՋՈՑՆԵՐ (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5131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5132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5133 +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5134),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1500.0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0ADF" w:rsidRPr="00160ADF" w:rsidTr="00160ADF">
        <w:trPr>
          <w:trHeight w:val="84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5131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Աճեցվող</w:t>
            </w:r>
            <w:proofErr w:type="spellEnd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ակտիվներ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1500.0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</w:t>
            </w:r>
          </w:p>
        </w:tc>
      </w:tr>
      <w:tr w:rsidR="00160ADF" w:rsidRPr="00160ADF" w:rsidTr="00160AD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ADF" w:rsidRPr="00160ADF" w:rsidTr="00160ADF">
        <w:trPr>
          <w:trHeight w:val="114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Աշխատակազմի</w:t>
            </w:r>
            <w:proofErr w:type="spellEnd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քարտուղար</w:t>
            </w:r>
            <w:proofErr w:type="spellEnd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՝                       </w:t>
            </w:r>
            <w:proofErr w:type="spellStart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Իդա</w:t>
            </w:r>
            <w:proofErr w:type="spellEnd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A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Թադևոսյան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ADF" w:rsidRPr="00160ADF" w:rsidRDefault="00160ADF" w:rsidP="00160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01635" w:rsidRDefault="00601635"/>
    <w:sectPr w:rsidR="00601635" w:rsidSect="00160ADF">
      <w:pgSz w:w="11906" w:h="16838"/>
      <w:pgMar w:top="18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8E"/>
    <w:rsid w:val="00160ADF"/>
    <w:rsid w:val="005F388E"/>
    <w:rsid w:val="006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2025-01-21T10:18:00Z</dcterms:created>
  <dcterms:modified xsi:type="dcterms:W3CDTF">2025-01-21T10:18:00Z</dcterms:modified>
</cp:coreProperties>
</file>