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A67EF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4"/>
      <w:bookmarkStart w:id="1" w:name="_Toc431286938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5</w:t>
      </w:r>
      <w:bookmarkEnd w:id="0"/>
      <w:bookmarkEnd w:id="1"/>
    </w:p>
    <w:p w14:paraId="6B322C97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9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40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7EE584DA" w14:textId="77777777" w:rsidR="00C320FE" w:rsidRPr="00485CFE" w:rsidRDefault="00C320FE" w:rsidP="00485CF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4626A3E5" w14:textId="6EE8A373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 w:cs="Sylfaen"/>
          <w:sz w:val="24"/>
          <w:szCs w:val="24"/>
          <w:lang w:val="hy-AM"/>
        </w:rPr>
      </w:pPr>
      <w:bookmarkStart w:id="4" w:name="bookmark5"/>
      <w:bookmarkStart w:id="5" w:name="_Toc431286941"/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bookmarkEnd w:id="4"/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 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ԿԱՆՈՆԱԿԱՐԳԻՆ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bookmarkEnd w:id="5"/>
    </w:p>
    <w:p w14:paraId="536A560B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</w:p>
    <w:p w14:paraId="3173B34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3EB13EA6" w14:textId="4ACC8D7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/>
          <w:sz w:val="24"/>
          <w:szCs w:val="24"/>
          <w:lang w:val="hy-AM" w:bidi="hy-AM"/>
        </w:rPr>
        <w:t>շահագործման ձեռնարկում արտադրողի կողմից նշված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կատեգորիայից։</w:t>
      </w:r>
    </w:p>
    <w:p w14:paraId="30BD4551" w14:textId="2E5C062C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6818F43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br w:type="page"/>
      </w:r>
    </w:p>
    <w:p w14:paraId="205CC562" w14:textId="77777777" w:rsidR="00C320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 w:cs="Sylfaen"/>
          <w:sz w:val="24"/>
          <w:szCs w:val="24"/>
          <w:lang w:val="hy-AM"/>
        </w:rPr>
        <w:lastRenderedPageBreak/>
        <w:t>Աղյուսակ</w:t>
      </w:r>
      <w:r w:rsidRPr="00972262">
        <w:rPr>
          <w:rFonts w:ascii="GHEA Grapalat" w:hAnsi="GHEA Grapalat"/>
          <w:sz w:val="24"/>
          <w:szCs w:val="24"/>
          <w:lang w:val="hy-AM"/>
        </w:rPr>
        <w:t xml:space="preserve"> 5.1</w:t>
      </w:r>
    </w:p>
    <w:p w14:paraId="576AD07B" w14:textId="1E714422" w:rsidR="007B27CB" w:rsidRPr="007B27CB" w:rsidRDefault="007B27CB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7B27CB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(աղյուսակը հանվել է ԵՏՀԽ 29.10.21 թիվ 127)</w:t>
      </w:r>
    </w:p>
    <w:p w14:paraId="31D2EB0C" w14:textId="77777777" w:rsidR="007B27CB" w:rsidRPr="007B27CB" w:rsidRDefault="007B27CB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66AECD8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7F0CFF5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0ABD9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BC43FA5" w14:textId="44E7D12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Մաքսային միության «Գյուղատնտեսական և անտառատնտեսական տրակտորների և դրանց կցանքների անվտանգության մասին» տեխնիկական կանոնակարգի (ՄՄ ՏԿ 031/2012)</w:t>
      </w:r>
      <w:r w:rsidR="007B27CB" w:rsidRPr="007B27CB">
        <w:rPr>
          <w:rFonts w:ascii="Arial Unicode" w:eastAsiaTheme="minorHAnsi" w:hAnsi="Arial Unicode" w:cstheme="minorBidi"/>
          <w:sz w:val="21"/>
          <w:szCs w:val="21"/>
          <w:lang w:val="hy-AM" w:eastAsia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առաքվեն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կիլոգրամներով՝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± 5%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սխալանքով։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կանխամտածված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2818E97D" w14:textId="77777777" w:rsidR="007B27CB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Տրակտորի խցիկի պաշտպանիչ հատկությունները</w:t>
      </w:r>
    </w:p>
    <w:p w14:paraId="30229D33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3.1. Գյուղատնտեսական տրակտորները պետք է ունենան շրջման դեպքում պաշտպանիչ սարքվածքներ կամ պետք է սարքավորված լինեն շրջման դեպքում պաշտպանության սարքվածքներով հանդերձված խցիկով: Ընկնող առարկաներից պաշտպանիչ սարքվածքների (FOPS) տեղակայման անհրաժեշտությունը որոշվում է արտադրողի կողմից տրակտորի կիրառման ենթադրվող ոլորտին համապատասխան (կիրառման թույլատրելի ոլորտի մասին տեղեկատվությունը </w:t>
      </w:r>
      <w:r w:rsidRPr="007B27CB">
        <w:rPr>
          <w:rFonts w:ascii="GHEA Grapalat" w:hAnsi="GHEA Grapalat"/>
          <w:sz w:val="24"/>
          <w:szCs w:val="24"/>
          <w:lang w:val="hy-AM"/>
        </w:rPr>
        <w:lastRenderedPageBreak/>
        <w:t>պետք է արտացոլվի շահագործման ձեռնարկում):</w:t>
      </w:r>
    </w:p>
    <w:p w14:paraId="3AF58379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Անտառատնտեսական տրակտորները պետք է հանդերձված լինեն խցիկներով և սարքավորված լինեն շրջման դեպքում պաշտպանիչ սարքվածքներով (ROPS), ընկնող առարկաներից պաշտպանիչ սաքրվածքներով և գործարկուի պաշտպանության սարքվածքներով (OPS):</w:t>
      </w:r>
    </w:p>
    <w:p w14:paraId="77C1798B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3.2. Գործարկուի պաշտպանության սարքվածքներ</w:t>
      </w:r>
    </w:p>
    <w:p w14:paraId="5460B95D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Գյուղատնտեսական և անտառատնտեսական տրակտորների՝ ընկնող առարկաներից պաշտպանության սարքվածքները (FOPS) պետք է համապատասխանեն ԳՕՍՏ ISO 27850-2016-ին:</w:t>
      </w:r>
    </w:p>
    <w:p w14:paraId="1DB405F8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Գյուղատնտեսական և անտառատնտեսական տրակտորների շրջման դեպքում պաշտպանության սարքվածքները (ROPS) պետք է համապատասխանեն ԳՕՍՏ ISO 3463-2013 կամ ԳՕՍՏ ISO 5700-2013-ին: Ընդ որում, շրջման դեպքում պաշտպանության սարքվածքները (ROPS) ենթարկվում են ստատիկ կամ դինամիկ փորձարկումների (այս կամ այլ փորձարկումներ անցկացնել չի պահանջվում): </w:t>
      </w:r>
    </w:p>
    <w:p w14:paraId="1E55C520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Գյուղատնտեսական տրակտորների գործարկուի պաշտպանության սարքվածքները (OPS) պետք է համապատասխանեն ԳՕՍՏ ISO 8084-2011-ին:</w:t>
      </w:r>
    </w:p>
    <w:p w14:paraId="52562063" w14:textId="5B7821C8" w:rsidR="00C320FE" w:rsidRPr="00485CFE" w:rsidRDefault="007B27CB" w:rsidP="007B27CB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3.3. Այն դեպքում, երբ ըստ նշանակության տրակտոր օգտագործելիս առկա է գործարկուի՝ վտանգավոր նյութերի հետ շփման ռիսկ, առաջարկվում է տրակտորները խցիկներով սարքավորել: Աշխատող շարժիչի դեպքում խցիկում ածխածնի օքսիդի կոնցենտրացիան չպետք է գերազանցի 20 մգ/մ3-ն: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>4.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հաշվարկմանը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ստուգմանը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2569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/>
          <w:sz w:val="24"/>
          <w:szCs w:val="24"/>
          <w:lang w:val="hy-AM"/>
        </w:rPr>
        <w:t>թ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հաճախությունը։</w:t>
      </w:r>
    </w:p>
    <w:p w14:paraId="2F55F6C3" w14:textId="77777777" w:rsidR="00DD1977" w:rsidRPr="00485CFE" w:rsidRDefault="00DD197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FE869C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անցումով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ուղղություններով։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տոկոսից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թեքություն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22F20C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ռեժիմում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ճնշմանը։</w:t>
      </w:r>
    </w:p>
    <w:p w14:paraId="45096D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գլորման՝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շառավղով։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BC8C5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մատակարարմանը։</w:t>
      </w:r>
    </w:p>
    <w:p w14:paraId="7D60E8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14:paraId="09D002B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045B2E" w14:textId="77777777" w:rsidR="00C320FE" w:rsidRPr="00485CFE" w:rsidRDefault="00AB3A3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E2AB8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7F4B03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անվաղուրների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119CE4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լայնությունը։</w:t>
      </w:r>
    </w:p>
    <w:p w14:paraId="460C5E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14:paraId="638D73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4865BD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չխոչընդոտեն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7DBF9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անջատումը։</w:t>
      </w:r>
    </w:p>
    <w:p w14:paraId="002CBD9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5CF1B2B6" w14:textId="77777777" w:rsidR="007B27CB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ՄԱԿ-ի թիվ 46 (02) կանոններին</w:t>
      </w:r>
    </w:p>
    <w:p w14:paraId="5A9ED8CE" w14:textId="0F19698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14:paraId="1AF0363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հայելիով։</w:t>
      </w:r>
    </w:p>
    <w:p w14:paraId="0C5CE4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ճանապարհահատվածը։</w:t>
      </w:r>
    </w:p>
    <w:p w14:paraId="62C819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18B85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09FE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6.7.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չափերից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0,2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ը։</w:t>
      </w:r>
    </w:p>
    <w:p w14:paraId="219D6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տեղից։</w:t>
      </w:r>
    </w:p>
    <w:p w14:paraId="2EB4E49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.9.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հնարավորություն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կարգավորելու՝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գտնվելով։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պահանջվող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կողմից։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կետ։</w:t>
      </w:r>
    </w:p>
    <w:p w14:paraId="6CB18AE8" w14:textId="77777777" w:rsidR="00C320FE" w:rsidRPr="00485CFE" w:rsidRDefault="00C320FE" w:rsidP="00485CFE">
      <w:pPr>
        <w:pStyle w:val="20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6.9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վերադառնում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կիրառման։</w:t>
      </w:r>
    </w:p>
    <w:p w14:paraId="722AC64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հարթությանը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կետով։</w:t>
      </w:r>
    </w:p>
    <w:p w14:paraId="6E04EC6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EE133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7.1.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միացումը։</w:t>
      </w:r>
    </w:p>
    <w:p w14:paraId="41632E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50237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հեռավորությունը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կենտրոնով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60-</w:t>
      </w:r>
      <w:r w:rsidRPr="00485CFE">
        <w:rPr>
          <w:rFonts w:ascii="GHEA Grapalat" w:hAnsi="GHEA Grapalat"/>
          <w:sz w:val="24"/>
          <w:szCs w:val="24"/>
          <w:lang w:val="hy-AM"/>
        </w:rPr>
        <w:t>1.5+0.5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բռնիչի՝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(62 ± 0,5)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110D957F" w14:textId="77777777" w:rsidR="00C320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+1,5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խոռոչից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14:paraId="78325CDA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7.4. Թույլատրվում է տրակտորն արտադրողի կողմից սույն կետի 7.3 ենթակետում նշված չափսերի փոփոխությունը՝ պայմանավորված դրա շահագործման ենթադրվող պայմաններով, ինչպես նաև տրակտորի զանգվածով և եզրաչափքերով՝ շահագործման ձեռնարկում քարշակման սարքվածքի կոնկրետ չափսերի պարտադիր նշմամբ: </w:t>
      </w:r>
    </w:p>
    <w:p w14:paraId="262BA691" w14:textId="3F21191F" w:rsidR="007B27CB" w:rsidRPr="007B27CB" w:rsidRDefault="007B27CB" w:rsidP="007B27CB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7.5. Քարշակման սարքվածքի կիրառման մեթոդը նշվում է արտադրողի կողմից շահագործման ձեռնարկում:</w:t>
      </w:r>
    </w:p>
    <w:p w14:paraId="512CF26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45CBF1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351B0B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698E5D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1DB8C21" w14:textId="5C13EF4D" w:rsidR="00C320FE" w:rsidRPr="00485CFE" w:rsidRDefault="00232DEB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32DEB">
        <w:rPr>
          <w:rFonts w:ascii="GHEA Grapalat" w:hAnsi="GHEA Grapalat" w:cs="Sylfaen"/>
          <w:sz w:val="24"/>
          <w:szCs w:val="24"/>
          <w:lang w:val="hy-AM" w:bidi="hy-AM"/>
        </w:rPr>
        <w:t>2,55 մ լայնությունը (հաշվի չառնելով հենարանային մակերևույթի հետ դրանց հպման կետին մոտ դողերով գոյացող ելուստները): Т4.2 կատեգորիայի տրակտորների համար տրակտորի առավելագույն եզրաչափքային լայնություն չի սահմանվում</w:t>
      </w:r>
      <w:r>
        <w:rPr>
          <w:rFonts w:ascii="GHEA Grapalat" w:hAnsi="GHEA Grapalat" w:cs="Sylfaen"/>
          <w:sz w:val="24"/>
          <w:szCs w:val="24"/>
          <w:lang w:val="hy-AM" w:bidi="hy-AM"/>
        </w:rPr>
        <w:t>.</w:t>
      </w:r>
    </w:p>
    <w:p w14:paraId="2E9B908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8.1.2.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210449E9" w14:textId="3D64EA0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չառնելով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232DEB">
        <w:rPr>
          <w:rFonts w:ascii="GHEA Grapalat" w:hAnsi="GHEA Grapalat"/>
          <w:sz w:val="24"/>
          <w:szCs w:val="24"/>
          <w:lang w:val="hy-AM"/>
        </w:rPr>
        <w:t xml:space="preserve">, </w:t>
      </w:r>
      <w:r w:rsidR="00232DEB" w:rsidRPr="00232DEB">
        <w:rPr>
          <w:rFonts w:ascii="GHEA Grapalat" w:hAnsi="GHEA Grapalat"/>
          <w:sz w:val="24"/>
          <w:szCs w:val="24"/>
          <w:lang w:val="hy-AM" w:bidi="hy-AM"/>
        </w:rPr>
        <w:t>Ra4 կատեգորիայի կցանքների (կիսակցանքների) համար թույլատրվում է եզրաչափքային լայնության մինչև 3,1 մ ավելացում՝ ճանապարհային երթևեկության անվտանգության ապահովման պայմանով</w:t>
      </w:r>
      <w:r w:rsidR="00232DEB">
        <w:rPr>
          <w:rFonts w:ascii="GHEA Grapalat" w:hAnsi="GHEA Grapalat"/>
          <w:sz w:val="24"/>
          <w:szCs w:val="24"/>
          <w:lang w:val="hy-AM" w:bidi="hy-AM"/>
        </w:rPr>
        <w:t>.</w:t>
      </w:r>
    </w:p>
    <w:p w14:paraId="1C5BB3A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</w:p>
    <w:p w14:paraId="0508FB0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92BC5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C513B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զանգվածը։</w:t>
      </w:r>
    </w:p>
    <w:p w14:paraId="63744AB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F6305A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հաջորդիվ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14DBBF5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</w:p>
    <w:p w14:paraId="4D483B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փոխարինվի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կարդացվող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14:paraId="6730E73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A221DB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9D9CF70" w14:textId="6268337B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="00232DEB">
        <w:rPr>
          <w:rFonts w:ascii="GHEA Grapalat" w:hAnsi="GHEA Grapalat" w:cs="Sylfaen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F7E81B" w14:textId="51D0E81F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8904DA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FF73C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08918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7CC3966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66E97D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BC498A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0222940" w14:textId="5A0F490E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="00232DEB">
        <w:rPr>
          <w:rFonts w:ascii="GHEA Grapalat" w:hAnsi="GHEA Grapalat" w:cs="Sylfaen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952E28" w14:textId="50593906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B1866F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232A83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C6BE5F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26270CD" w14:textId="03B554A3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Մաքսային միության «Գյուղատնտեսական և անտառատնտեսական տրակտորների և դրանց կցանքների անվտանգության մասին» տեխնիկական կանոնակարգի» (ՄՄ ՏԿ 031/2012)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58E3F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A0E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համակցություն։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երաշխավորել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14:paraId="2B9E4E4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32DDE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տողում։</w:t>
      </w:r>
    </w:p>
    <w:p w14:paraId="41C34C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ջնջվելու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անհնարինությունը։</w:t>
      </w:r>
    </w:p>
    <w:p w14:paraId="7C5B1F1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Նշանները</w:t>
      </w:r>
    </w:p>
    <w:p w14:paraId="4EC3DB71" w14:textId="37DA243D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Եվրասիական տնտեսական միության անդամ պետության պետական լեզվով (պետական լեզուներով)</w:t>
      </w:r>
      <w:r w:rsidR="00232DEB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անդամ պետության (անդամ պետությունների) օրենսդրության</w:t>
      </w:r>
      <w:r w:rsidR="00232DEB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արաբական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թվանշաններ։</w:t>
      </w:r>
    </w:p>
    <w:p w14:paraId="4AC6591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9.4.2.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լատիներեն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մեծատառեր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«I», «O», «Q»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գծիկների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աստղանշանների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թույլատրվում։</w:t>
      </w:r>
    </w:p>
    <w:p w14:paraId="3654956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65F5812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668164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322C41B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66E2F19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ոտքի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լծակներից։</w:t>
      </w:r>
    </w:p>
    <w:p w14:paraId="611EB228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006E">
        <w:rPr>
          <w:rFonts w:ascii="GHEA Grapalat" w:hAnsi="GHEA Grapalat" w:cs="Sylfaen"/>
          <w:sz w:val="24"/>
          <w:szCs w:val="24"/>
          <w:lang w:val="hy-AM"/>
        </w:rPr>
        <w:t>Տրակտորը պետք է սարքավորված լինի կցանքի արգելակների պնևմատիկ և (կամ) հիդրավլիկ շարժաբերներով: ТЗ կատեգորիայի տրակտորների մասով թույլատրվում է կցանքի արգելակների մեխանիկական շարժաբերի կիրառումը:</w:t>
      </w:r>
    </w:p>
    <w:p w14:paraId="2C0667C0" w14:textId="77777777" w:rsidR="00A6006E" w:rsidRDefault="00A6006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006E">
        <w:rPr>
          <w:rFonts w:ascii="GHEA Grapalat" w:hAnsi="GHEA Grapalat" w:cs="Sylfaen"/>
          <w:sz w:val="24"/>
          <w:szCs w:val="24"/>
          <w:lang w:val="hy-AM"/>
        </w:rPr>
        <w:t>Արգելակների պնևմատիկ և (կամ) հիդրավլիկ շարժաբերով սարքավորված տրակտորի և կցանքների կառուցվածքով պետք է նախատեսվի տրակտորների և տրակտորի գործարկուի աշխատանքային տեղից տրակտորային գնացքի կազմում կցանքների նշված արգելակման համակարգերով կառավարման միասնական օրգան</w:t>
      </w:r>
    </w:p>
    <w:p w14:paraId="584F8DE1" w14:textId="73E4C5DD" w:rsidR="00C320FE" w:rsidRPr="00485CF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ՄԱԿ-ի թիվ 13 (10) կանոններում (մինչև 2022 թվականի հունվարի 1-ը) կամ ՄԱԿ-ի թիվ 13 (11) կանոններում (2022 թվականի հունվարի 1-ից)</w:t>
      </w:r>
      <w:r w:rsidR="00A6006E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բնութագրերին։</w:t>
      </w:r>
    </w:p>
    <w:p w14:paraId="7F02C7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կանգառը։</w:t>
      </w:r>
    </w:p>
    <w:p w14:paraId="28AF66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6C005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</w:p>
    <w:p w14:paraId="41556459" w14:textId="77777777" w:rsidR="00A6006E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>Թույլատրվում է երկհաղորդալար հիդրավլիկ շարժաբերի կիրառումը:</w:t>
      </w:r>
    </w:p>
    <w:p w14:paraId="41086AB3" w14:textId="7853C910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5676-2010-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կիսակցորդիչը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AF21BE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գլխիկում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բացակայությունը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15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pacing w:val="-6"/>
          <w:sz w:val="24"/>
          <w:szCs w:val="24"/>
          <w:lang w:val="hy-AM"/>
        </w:rPr>
        <w:t>։</w:t>
      </w:r>
    </w:p>
    <w:p w14:paraId="35258D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աղբյուրից։</w:t>
      </w:r>
    </w:p>
    <w:p w14:paraId="7CA098E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73282" w14:textId="77777777" w:rsidR="00C320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երկլարանի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78F9F7C" w14:textId="71C078BD" w:rsidR="00A6006E" w:rsidRPr="00485CFE" w:rsidRDefault="00A6006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 w:bidi="hy-AM"/>
        </w:rPr>
        <w:t>Թույլատրվում է կցանքի միահաղորդալար պնևմատիկ շարժաբերի տեղակայումը տրակտորի միահաղորդալար պնևմատիկ շարժաբերին միացնելու համար</w:t>
      </w:r>
    </w:p>
    <w:p w14:paraId="391C916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1728-2010-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ին։</w:t>
      </w:r>
    </w:p>
    <w:p w14:paraId="1802EC5F" w14:textId="77777777" w:rsidR="00C320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0,65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0,8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76E767D" w14:textId="77777777" w:rsidR="00A6006E" w:rsidRPr="00485CFE" w:rsidRDefault="00A6006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332A4B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8E60721" w14:textId="71D464F8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A6006E">
        <w:rPr>
          <w:rFonts w:ascii="GHEA Grapalat" w:hAnsi="GHEA Grapalat"/>
          <w:sz w:val="24"/>
          <w:szCs w:val="24"/>
          <w:lang w:val="hy-AM"/>
        </w:rPr>
        <w:t>Գ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BAC40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27D82601" w14:textId="7DF87F5F" w:rsidR="00A6006E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>Հետևի գրանցման համարանիշի տեղակայման համար տեղը պետք է լինի հարթ ուղղաձիգ մակերևույթ, որի չափսերն ապահովում են հետևի գրանցման համարանիշի տեղակայումը՝ անդամ պետություններում սահմանված պահանջներին համապատասխան</w:t>
      </w:r>
      <w:r>
        <w:rPr>
          <w:rFonts w:ascii="GHEA Grapalat" w:hAnsi="GHEA Grapalat" w:cs="Sylfaen"/>
          <w:sz w:val="24"/>
          <w:szCs w:val="24"/>
          <w:lang w:val="hy-AM" w:bidi="hy-AM"/>
        </w:rPr>
        <w:t>:</w:t>
      </w:r>
    </w:p>
    <w:p w14:paraId="295DFEDD" w14:textId="63A764F0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ամրացումը</w:t>
      </w:r>
    </w:p>
    <w:p w14:paraId="160726E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կատարումը։</w:t>
      </w:r>
    </w:p>
    <w:p w14:paraId="2B6C0B64" w14:textId="496E8CE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FDB9E4" w14:textId="1847342D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աջ։</w:t>
      </w:r>
    </w:p>
    <w:p w14:paraId="22D1535F" w14:textId="77777777" w:rsidR="00DF53BD" w:rsidRPr="00485CFE" w:rsidRDefault="00DF53BD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3781A95" w14:textId="7A04461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տրակտորի՝</w:t>
      </w:r>
      <w:r w:rsidR="00A600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աչքի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հատվածով։</w:t>
      </w:r>
    </w:p>
    <w:p w14:paraId="41A0B360" w14:textId="7EFD37E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D0E3D45" w14:textId="18CA64C5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գործնականորեն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ուղղահայաց։</w:t>
      </w:r>
    </w:p>
    <w:p w14:paraId="3651604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E73FF5" w14:textId="1201200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5°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թերաչափսով։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կոնֆիգուրացիան՝</w:t>
      </w:r>
    </w:p>
    <w:p w14:paraId="448D94B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30°-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8FDE8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15°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բարձր։</w:t>
      </w:r>
    </w:p>
    <w:p w14:paraId="58584F3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EE39B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0CD5BD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որոշումը</w:t>
      </w:r>
    </w:p>
    <w:p w14:paraId="7ED13EA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11.2.3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(75 ±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վառելիքաքսուքային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գործիքներով։</w:t>
      </w:r>
    </w:p>
    <w:p w14:paraId="304A0A1B" w14:textId="51008FB7" w:rsidR="00C320FE" w:rsidRPr="00485CF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 xml:space="preserve">Տրակտորների արգելակման համակարգերին ներկայացվող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lastRenderedPageBreak/>
        <w:t>պահանջները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D72E76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/>
        </w:rPr>
        <w:t>Գյուղատնտեսական անվավոր տրակտորների արգելակման համակարգերով պետք է ապահովվի՝</w:t>
      </w:r>
    </w:p>
    <w:p w14:paraId="5C252DEB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/>
        </w:rPr>
        <w:t>ըստ հետևյալ բանաձևի հաշվարկված արգելակման ուղի (սառը արգելակումների դեպքում տրակտորների համար)՝</w:t>
      </w:r>
    </w:p>
    <w:p w14:paraId="195F6ABD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Calibri" w:hAnsi="Calibri" w:cs="Calibri"/>
          <w:sz w:val="24"/>
          <w:szCs w:val="24"/>
          <w:lang w:val="hy-AM"/>
        </w:rPr>
        <w:t> </w:t>
      </w:r>
    </w:p>
    <w:p w14:paraId="7C8E8A61" w14:textId="4BAF29AF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noProof/>
          <w:sz w:val="24"/>
          <w:szCs w:val="24"/>
          <w:lang w:val="en-US"/>
        </w:rPr>
        <w:drawing>
          <wp:inline distT="0" distB="0" distL="0" distR="0" wp14:anchorId="27AFC706" wp14:editId="4E05B2F4">
            <wp:extent cx="1171575" cy="419100"/>
            <wp:effectExtent l="0" t="0" r="9525" b="0"/>
            <wp:docPr id="2100983100" name="Picture 2" descr="Ներմուծեք նկարագրությունը_2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Ներմուծեք նկարագրությունը_218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B483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Calibri" w:hAnsi="Calibri" w:cs="Calibri"/>
          <w:sz w:val="24"/>
          <w:szCs w:val="24"/>
          <w:lang w:val="en-US"/>
        </w:rPr>
        <w:t> </w:t>
      </w:r>
    </w:p>
    <w:p w14:paraId="099CB014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որտեղ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S0-ը՝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ուղի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>, մ.</w:t>
      </w:r>
    </w:p>
    <w:p w14:paraId="5B1BA25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 xml:space="preserve">V0-ն՝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սկզբի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արագությունը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կմ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>/ժ.</w:t>
      </w:r>
    </w:p>
    <w:p w14:paraId="4E30C557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շարժման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անուղղագծությունը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0,5 մ-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>.</w:t>
      </w:r>
    </w:p>
    <w:p w14:paraId="400F889A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թեքության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կանգառքը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պահումը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>՝ 18 %:</w:t>
      </w:r>
    </w:p>
    <w:p w14:paraId="2EF8484C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 xml:space="preserve">12.2.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Անտառատնտեսական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անվավոր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համակարգերին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համապատասխանեն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ԳՕՍՏ ISO 11169-2011-ին:</w:t>
      </w:r>
    </w:p>
    <w:p w14:paraId="05FA68F9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 xml:space="preserve">12.3.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Անվավոր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հիմքով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տրակտորային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գնացքների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համակարգերով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ապահովվի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12%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թեքության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տրակտորային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գնացքի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կանգառքը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պահումը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7299D85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 xml:space="preserve">12.4.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Անտառատնտեսական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թրթուրավոր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համակարգերին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համապատասխանեն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ԳՕՍՏ ISO 11512-2011-ին:</w:t>
      </w:r>
    </w:p>
    <w:p w14:paraId="7833BB97" w14:textId="130E8C08" w:rsidR="00C320FE" w:rsidRPr="00485CFE" w:rsidRDefault="00A6006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Ըստ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փաստաթղթերի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գյուղատնտեսական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թրթուրավոր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տրակտորների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արգելակման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համակարգերին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փորձարկումների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A6006E">
        <w:rPr>
          <w:rFonts w:ascii="GHEA Grapalat" w:hAnsi="GHEA Grapalat"/>
          <w:sz w:val="24"/>
          <w:szCs w:val="24"/>
          <w:lang w:val="en-US"/>
        </w:rPr>
        <w:t>համապատասխանեն</w:t>
      </w:r>
      <w:proofErr w:type="spellEnd"/>
      <w:r w:rsidRPr="00A6006E">
        <w:rPr>
          <w:rFonts w:ascii="GHEA Grapalat" w:hAnsi="GHEA Grapalat"/>
          <w:sz w:val="24"/>
          <w:szCs w:val="24"/>
          <w:lang w:val="en-US"/>
        </w:rPr>
        <w:t xml:space="preserve"> ԳՕՍՏ 12.2.002.3-91-ին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>13.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A86B7B7" w14:textId="75E41B76" w:rsidR="00C320FE" w:rsidRPr="00A6006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13.1</w:t>
      </w:r>
      <w:r w:rsidRPr="00A6006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  <w:r w:rsidR="00A6006E" w:rsidRPr="00A6006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(ենթակետը հանվել է ԵՏՀԽ 29.10.21 թիվ 127)</w:t>
      </w:r>
    </w:p>
    <w:p w14:paraId="1D42E5E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2A79F96D" w14:textId="7FDB775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ԳՕՍՏ EN 13478-2012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30879-2003-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սրահի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):</w:t>
      </w:r>
    </w:p>
    <w:p w14:paraId="24629AC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կրակմարիչներ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5D85F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8C2FCE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31177-2003-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B6D87A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F91788" w14:textId="0B1645A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կառուցվածքի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տարրերը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սպասարկման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փոխադրման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գունավորում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գույները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նշանները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pacing w:val="6"/>
          <w:sz w:val="24"/>
          <w:szCs w:val="24"/>
          <w:lang w:val="hy-AM" w:bidi="hy-AM"/>
        </w:rPr>
        <w:t>ԳՕՍՏ 12.4.026-2015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7AED879F" w14:textId="77777777" w:rsidR="004C34F7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 xml:space="preserve">Զոդակցման համար անհարմար կառուցվածք ունեցող տրակտորներն ու կցանքները և դրանց բաղադրամասերը պետք է ունենան վերհանման դեպքում զոդակցման, ապահովական շղթաների միակցան և ամբարձիկների տեղակայման համար սարքվածքներ կամ տեղեր: Զոդակցման և ապահովական շղթաների միակցման սխեմաները պետք է նշված լինեն տրակտորի և կցանքի վրա, ինչպես նաև շահագորման ձեռնարկում: Թրթուրավոր տրակտորների համար թույլատրվում է բերել զոդակցման սխեմաները և ապահովական շղթաների միակցման տեղերը միայն շահագործման ձեռնարկում: Ամբարձիկների տեղակայման և ապահովական շղթաների միակցման տեղերը մակնշում են </w:t>
      </w:r>
      <w:r w:rsidRPr="00A6006E">
        <w:rPr>
          <w:rFonts w:ascii="GHEA Grapalat" w:hAnsi="GHEA Grapalat" w:cs="Sylfaen"/>
          <w:sz w:val="24"/>
          <w:szCs w:val="24"/>
          <w:lang w:val="hy-AM" w:bidi="hy-AM"/>
        </w:rPr>
        <w:lastRenderedPageBreak/>
        <w:t>տրակտորի և կցանքի վրա խորհրդանշաններով՝ համաձայն ԳՕՍՏ 26336-97-ի (խորհրդանիշ 2.30 «ամբարձման կետ» և խորհրդանիշ 2.31 «ամբարձման կամ հենման կետ):</w:t>
      </w:r>
    </w:p>
    <w:p w14:paraId="07CB4356" w14:textId="19C02238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1BE2F7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դեղարկղիկի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D394CD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ողողիչներով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4A45663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դեմքը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ճառագայթներից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3700A8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պատուհանները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5C4FB04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բանալիով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եռակ՝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ամբողջովին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29B30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72C7338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չանցնի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ամենաբարձր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դիրքը։</w:t>
      </w:r>
    </w:p>
    <w:p w14:paraId="5F114751" w14:textId="77777777" w:rsidR="00C320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հենակով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բեռնաթափումներ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00B8F61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13.7. Տրակտորների և կցանքների կայունությանը ներկայացվող պահանջները </w:t>
      </w:r>
    </w:p>
    <w:p w14:paraId="2688442C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Տրակտորների և կցանքների լայնական ստատիկ կայունության անկյունը՝ պայմանավորված դրանց կիրառման կատեգորիաներով և պայմաններով, </w:t>
      </w:r>
      <w:r w:rsidRPr="004C34F7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սահմանվում է. </w:t>
      </w:r>
    </w:p>
    <w:p w14:paraId="54AC0DD8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տրակտորների համար՝ ԳՕՍՏ 12.2.019-2015-ին համապատասխան.</w:t>
      </w:r>
    </w:p>
    <w:p w14:paraId="679C0AB5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կցանքների համար՝ ԳՕՍՏ 10000-2017-ին համապատասխան:</w:t>
      </w:r>
    </w:p>
    <w:p w14:paraId="6853A987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Տեխնիկական նկարագրությունների ձևը բերված է Մաքսային միության «Գյուղատնտեսական և անտառատնտեսական տրակտորների և դրանց կցանքների անվտանգության մասին» տեխնիկական կանոնակարգի (ՄՄ ՏԿ 031/2012) թիվ 2 հավելվածում:</w:t>
      </w:r>
    </w:p>
    <w:p w14:paraId="6C9B8FD5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Այն տրակտորները, որոնց շահագործումը նախատեսված է արտադրողի կողմից լեռնային տեղանքի պայմաններում կամ լեռնային տեղանքին հավասարեցված պայմաններում (բլրավորություն, բարձրությունների տարբերություններով պայմանավորված՝ տեղանքի բարդ լանդշաֆտ և այլն), պետք է սարքավորված լինեն սահմանային թույլատրելի կողաթեքման (սահմանային թույլատրելի կողաթեքումների) ազդանշանիչներով: </w:t>
      </w:r>
    </w:p>
    <w:p w14:paraId="07035305" w14:textId="26E9DEE2" w:rsidR="004C34F7" w:rsidRPr="004C34F7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Սահմանային թույլատրելի կողաթեքման (սահմանային թույլատրելի կողաթեքումների) մասին տեղեկատվությունը բերվում է տրակտորի շահագործման ձեռնարկում:</w:t>
      </w:r>
    </w:p>
    <w:p w14:paraId="34E9D6F4" w14:textId="3E87A84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4C34F7" w:rsidRPr="004C34F7">
        <w:rPr>
          <w:rFonts w:ascii="GHEA Grapalat" w:hAnsi="GHEA Grapalat" w:cs="Sylfaen"/>
          <w:sz w:val="24"/>
          <w:szCs w:val="24"/>
          <w:lang w:val="hy-AM" w:bidi="hy-AM"/>
        </w:rPr>
        <w:t>Տրակտորների շարժիչների բանած գազերում պարունակվող վնասակար նյութերի արտանետումներին ներկայացվող պահանջները</w:t>
      </w:r>
    </w:p>
    <w:p w14:paraId="5175B352" w14:textId="77777777" w:rsidR="004C34F7" w:rsidRPr="004C34F7" w:rsidRDefault="00C320FE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4C34F7" w:rsidRPr="004C34F7">
        <w:rPr>
          <w:rFonts w:ascii="GHEA Grapalat" w:hAnsi="GHEA Grapalat" w:cs="Sylfaen"/>
          <w:sz w:val="24"/>
          <w:szCs w:val="24"/>
          <w:lang w:val="hy-AM"/>
        </w:rPr>
        <w:t>Դիզելային վառելիքով աշխատող՝ սեղմումից բոցավառմամբ շարժիչներ</w:t>
      </w:r>
    </w:p>
    <w:p w14:paraId="2B6D42FB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Տրակտորների շարժիչների բանած գազերում պարունակվող վնասակար նյութերի արտանետումները չպետք է գերազանցեն 5.1 աղյուսակում բերված արժեքները՝</w:t>
      </w:r>
    </w:p>
    <w:p w14:paraId="19AF6A22" w14:textId="49202EA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հզորության D, Е1, Е2, F, G ընդգրկույթներով շարժիչների համար՝ մինչև 202</w:t>
      </w:r>
      <w:r w:rsidR="006F0021">
        <w:rPr>
          <w:rFonts w:ascii="GHEA Grapalat" w:hAnsi="GHEA Grapalat" w:cs="Sylfaen"/>
          <w:sz w:val="24"/>
          <w:szCs w:val="24"/>
          <w:lang w:val="hy-AM"/>
        </w:rPr>
        <w:t>4</w:t>
      </w:r>
      <w:r w:rsidRPr="004C34F7">
        <w:rPr>
          <w:rFonts w:ascii="GHEA Grapalat" w:hAnsi="GHEA Grapalat" w:cs="Sylfaen"/>
          <w:sz w:val="24"/>
          <w:szCs w:val="24"/>
          <w:lang w:val="hy-AM"/>
        </w:rPr>
        <w:t xml:space="preserve"> թվականի սեպտեմբերի 1-ը.</w:t>
      </w:r>
    </w:p>
    <w:p w14:paraId="335A4551" w14:textId="798750BF" w:rsidR="00C320FE" w:rsidRPr="00396051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հզորության Н, I, J, К ընդգրկույթներով շարժիչների համար՝ 2022 թվականի սեպտեմբերի 1-ից:</w:t>
      </w:r>
      <w:r w:rsidR="00C320FE" w:rsidRPr="004C34F7">
        <w:rPr>
          <w:rFonts w:ascii="GHEA Grapalat" w:hAnsi="GHEA Grapalat"/>
          <w:sz w:val="24"/>
          <w:szCs w:val="24"/>
          <w:lang w:val="hy-AM"/>
        </w:rPr>
        <w:t xml:space="preserve">14.2-14.3 Հանվել են: </w:t>
      </w:r>
      <w:r w:rsidR="00C320FE" w:rsidRPr="00396051">
        <w:rPr>
          <w:rFonts w:ascii="GHEA Grapalat" w:hAnsi="GHEA Grapalat"/>
          <w:b/>
          <w:bCs/>
          <w:sz w:val="24"/>
          <w:szCs w:val="24"/>
          <w:lang w:val="hy-AM"/>
        </w:rPr>
        <w:t xml:space="preserve">Եվրասիական տնտեսական հանձնաժողովի խորհրդի 2016 թվականի նոյեմբերի 30-ի </w:t>
      </w:r>
      <w:r w:rsidR="00D4501F" w:rsidRPr="00396051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="00C320FE" w:rsidRPr="00396051">
        <w:rPr>
          <w:rFonts w:ascii="GHEA Grapalat" w:hAnsi="GHEA Grapalat"/>
          <w:b/>
          <w:bCs/>
          <w:sz w:val="24"/>
          <w:szCs w:val="24"/>
          <w:lang w:val="hy-AM"/>
        </w:rPr>
        <w:t xml:space="preserve"> 126 որոշումը։</w:t>
      </w:r>
    </w:p>
    <w:p w14:paraId="6012F816" w14:textId="470EDEB0" w:rsidR="004C34F7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 w:bidi="hy-AM"/>
        </w:rPr>
      </w:pPr>
      <w:r w:rsidRPr="004C34F7">
        <w:rPr>
          <w:rFonts w:ascii="GHEA Grapalat" w:hAnsi="GHEA Grapalat"/>
          <w:sz w:val="24"/>
          <w:szCs w:val="24"/>
          <w:lang w:val="hy-AM" w:bidi="hy-AM"/>
        </w:rPr>
        <w:lastRenderedPageBreak/>
        <w:t>Աղյուսակ 5.1</w:t>
      </w:r>
    </w:p>
    <w:tbl>
      <w:tblPr>
        <w:tblW w:w="111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18"/>
        <w:gridCol w:w="1678"/>
        <w:gridCol w:w="2661"/>
        <w:gridCol w:w="1560"/>
        <w:gridCol w:w="1560"/>
      </w:tblGrid>
      <w:tr w:rsidR="004C34F7" w:rsidRPr="004C34F7" w14:paraId="438BD2B3" w14:textId="77777777" w:rsidTr="00BF5518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818A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Հզորության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ընդգրկույթ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DA7D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շարժիչի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օգտակար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հզորություն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(Р),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CCD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Ածխածնի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օքսիդի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տեսակարար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արտանետում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(СО), գ/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կՎտ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4A3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Ածխաջրածինների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տեսակարար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արտանետում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(НС), գ/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կՎտ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43E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Ազոտի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օքսիդների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տեսակարար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արտանետում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(NOx), գ/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կՎտ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D9F0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Պինդ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մասնիկների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տեսակարար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արտանետում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(РТ), գ/</w:t>
            </w:r>
            <w:proofErr w:type="spellStart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կՎտ</w:t>
            </w:r>
            <w:proofErr w:type="spellEnd"/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 xml:space="preserve"> ժ</w:t>
            </w:r>
          </w:p>
        </w:tc>
      </w:tr>
      <w:tr w:rsidR="004C34F7" w:rsidRPr="004C34F7" w14:paraId="048D9F6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EE51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Е1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32F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130≤Р&lt;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83F17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3DE1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7C97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997B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11D63D4C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8B8B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Е2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301D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156 &lt; Р ≤≤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AB29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2B6C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 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BD63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44065C70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A585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B3C3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75 ≤ Р &lt;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920B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92DB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0E37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A1F1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0,3</w:t>
            </w:r>
          </w:p>
        </w:tc>
      </w:tr>
      <w:tr w:rsidR="004C34F7" w:rsidRPr="004C34F7" w14:paraId="7A0FEF52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5144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878C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37 ≤ Р &lt;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D797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91BD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435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9ABC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0,4</w:t>
            </w:r>
          </w:p>
        </w:tc>
      </w:tr>
      <w:tr w:rsidR="004C34F7" w:rsidRPr="004C34F7" w14:paraId="26E4D9F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D0A8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AEDD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19 ≤ Р &lt;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2F51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949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0877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AE08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0,8</w:t>
            </w:r>
          </w:p>
        </w:tc>
      </w:tr>
      <w:tr w:rsidR="004C34F7" w:rsidRPr="004C34F7" w14:paraId="7CDCA2C0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855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2AD3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130 ≤ Р &lt;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CB58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8DF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CB30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19082B09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C9B2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2DA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75≤Р&lt;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AE5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586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A493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0,3</w:t>
            </w:r>
          </w:p>
        </w:tc>
      </w:tr>
      <w:tr w:rsidR="004C34F7" w:rsidRPr="004C34F7" w14:paraId="25EE9DEA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7C08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0CC3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37 ≤ Р &lt;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7FC8D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0967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A67D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0,4</w:t>
            </w:r>
          </w:p>
        </w:tc>
      </w:tr>
      <w:tr w:rsidR="004C34F7" w:rsidRPr="004C34F7" w14:paraId="73061FD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CE8A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50C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19 ≤ Р &lt;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2958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FD8A1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57E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</w:tr>
    </w:tbl>
    <w:p w14:paraId="3B6924F6" w14:textId="142378FF" w:rsidR="00BF5518" w:rsidRPr="006F0021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Թույլատրվում է սույն ենթակետի չորրորդ պարբերությամբ նախատեսված պահանջների կիրառումը մինչև 202</w:t>
      </w:r>
      <w:r w:rsidR="006F0021">
        <w:rPr>
          <w:rFonts w:ascii="GHEA Grapalat" w:hAnsi="GHEA Grapalat"/>
          <w:sz w:val="24"/>
          <w:szCs w:val="24"/>
          <w:lang w:val="hy-AM"/>
        </w:rPr>
        <w:t>4</w:t>
      </w:r>
      <w:r w:rsidRPr="00972262">
        <w:rPr>
          <w:rFonts w:ascii="GHEA Grapalat" w:hAnsi="GHEA Grapalat"/>
          <w:sz w:val="24"/>
          <w:szCs w:val="24"/>
          <w:lang w:val="hy-AM"/>
        </w:rPr>
        <w:t xml:space="preserve"> թվականի սեպտեմբերի 1-ը:</w:t>
      </w:r>
    </w:p>
    <w:p w14:paraId="078EAA4C" w14:textId="1C61E5E5" w:rsidR="00972262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lastRenderedPageBreak/>
        <w:t>(</w:t>
      </w:r>
      <w:r w:rsidRPr="006F002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14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-րդ կետը փոփ.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ԵՏՀԽ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15.04.22 թիվ 89</w:t>
      </w:r>
      <w:r w:rsidR="006F002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, ԵՏՀԽ 17.10.22 թիվ 167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)</w:t>
      </w:r>
    </w:p>
    <w:p w14:paraId="017ABE6E" w14:textId="3C64DB18" w:rsidR="00BF5518" w:rsidRDefault="00BF5518" w:rsidP="00972262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14.2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. </w:t>
      </w:r>
      <w:r w:rsidR="00972262"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(ենթակետը հանվել է ԵՏՀԽ 30.11.16 թիվ 126)</w:t>
      </w:r>
    </w:p>
    <w:p w14:paraId="24403B25" w14:textId="481ED2B5" w:rsidR="00972262" w:rsidRPr="00972262" w:rsidRDefault="00972262" w:rsidP="00972262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 w:bidi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14.3. 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(ենթակետը հանվել է ԵՏՀԽ 30.11.16 թիվ 126)</w:t>
      </w:r>
    </w:p>
    <w:p w14:paraId="00522AD7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 Գազակերպ վառելիքով (սեղմված բնական գազով (ՍԲԳ), հեղուկացված նավթային գազով (ՀՆԳ)) շարժիչի սնուցման համար սարքավորումներին և դրա տեղակայմանը ներկայացվող պահանջները </w:t>
      </w:r>
    </w:p>
    <w:p w14:paraId="6B421A53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15.1. Տրակտորների վրա թույլատրվում է տեղակայել միայն 1958 թվականի մարտի 20-ին Ժնևում կնքված՝ անվավոր տրանսպորտային միջոցների, սարքավորումների առարկաների և մասերի համար, որոնք կարող են տեղակայվել և (կամ) օգտագործվել անվավոր տրանսպորտային միջոցների վրա, միօրինակ տեխնիկական կարգադրագրերի ընդունման և այդ կարգադրագրերի հիման վրա տրվող պաշտոնական հաստատումների փոխճանաչման պայմանների մասին համաձայնագրին համապատասխան տրված՝ ըստ ՄԱԿ-ի թիվ 67 (01) կանոնների կամ ՄԱԿ-ի թիվ 110 (00) կանոնների տեսակի պաշտոնական հաստատմանը վերաբերող հաղորդագրությունների հիման վրա տրված համապատասխանության սերտիֆիկատ ունեցող գազաբալոնային սարքավորումներ: </w:t>
      </w:r>
    </w:p>
    <w:p w14:paraId="61F8C00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15.1.1. Յուրաքանչյուր գազի բալոն պետք է ունենա՝ ըստ Եվրասիական տնտեսական հանձնաժողովի կոլեգիայի 2014 թվականի նոյեմբերի 18-ի թիվ 211 որոշմամբ հաստատված միասնական ձևի, գազի բալոն արտադրողի կողմից ձևակերպված անձնագիր: </w:t>
      </w:r>
    </w:p>
    <w:p w14:paraId="1EEC186D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15.1.2. Տրակտորի վրա տեղակայված յուրաքանչյուր գազի բալոնի վրա պետք է հստակ չջնջվող կերպով զետեղվեն դրա սերիական համարը և «ՀՆԳ» կամ «ՍԲԳ» նշագրերը:</w:t>
      </w:r>
    </w:p>
    <w:p w14:paraId="6271CA70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 Գազակերպ վառելիքով (սեղմված բնական գազով (ՍԲԳ), հեղուկացված նավթային գազով (ՀՆՎ)) շարժիչի սնուցման համակարգին (այսուհետ՝ սնուցման համակարգ), դրա տեղադրմանը և տեղակայմանը ներկայացվող պահանջները:</w:t>
      </w:r>
    </w:p>
    <w:p w14:paraId="4270176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>15.2.1. Սնուցման համակարգի բոլոր տարրերը պետք է պատշաճորեն (կոշտ) ամրակցվեն:</w:t>
      </w:r>
    </w:p>
    <w:p w14:paraId="613EE01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15.2.2. Սնուցման համակարգը պետք է տեղակայվի այնպես, որ ապահովվի դրա առավելագույն հնարավոր պաշտպանությունը վնասվածքներից:</w:t>
      </w:r>
    </w:p>
    <w:p w14:paraId="4429025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15.2.3. Սնուցման համակարգին ոչ մի սարքվածք չպետք է միակցվի (բացառությամբ նրանց, որոնց առկայությունը խիստ անհրաժեշտ է տրակտորի շարժիչի պատշաճ աշխատանքի և խցիկի տաքացման համակարգի ապահովման համար):</w:t>
      </w:r>
    </w:p>
    <w:p w14:paraId="744ABD5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15.2.4. Տրակտորները կարող են հանդերձվեն խցիկի տաքացման համակարգով, որը միացվում է սնուցման համակարգին: Խցիկի տաքացման համակարգի առկայությունը թույլատրվում է միայն այն դեպքում, երբ այն հրդեհաանվտանգ է և չի ազդում սնուցման համակարգի կանոնավոր աշխատանքի վրա:</w:t>
      </w:r>
    </w:p>
    <w:p w14:paraId="724E52E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15.2.5. Սնուցման համակարգի և ոչ մի տարր, այդ թվում՝ սնուցման համակարգի սարքավորումների մաս հանդիսացող ցանկացած պաշտպանիչ սարքվածք (նյութ), չպետք է ցցվի տրակտորի արտաքին եզրաչափքից դուրս: </w:t>
      </w:r>
    </w:p>
    <w:p w14:paraId="41CF267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15.2.6. Սնուցման համակարգի ոչ մի տարր չպետք է գտնվի շարժիչի կամ ջերմության համանման աղբյուրի բանած գազերի արտանետման համակարգից առնվազն 100 մմ հեռավորության վրա, եթե սնուցման համակարգի սարքավորումների այդպիսի տարրերը չունեն պատշաճ ջերմապաշտպանիչ պատյան: </w:t>
      </w:r>
    </w:p>
    <w:p w14:paraId="4304304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15.2.7. Սնուցման համակարգը պետք է ունենա սարքավորումների հետևյալ տարրերը՝</w:t>
      </w:r>
    </w:p>
    <w:p w14:paraId="12BDB7DE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բալոն (բալոններ).</w:t>
      </w:r>
    </w:p>
    <w:p w14:paraId="1343747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մանոմետր կամ վառելիքի մակարդակի ցուցիչ.</w:t>
      </w:r>
    </w:p>
    <w:p w14:paraId="1DD821F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ապահովիչ սարքվածք (որոշակի ջերմաստիճանում գործարկվող).</w:t>
      </w:r>
    </w:p>
    <w:p w14:paraId="079C030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բալոնի ավտոմատ կափույր. </w:t>
      </w:r>
    </w:p>
    <w:p w14:paraId="072D1EE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 xml:space="preserve">ձեռքով կառավարմամբ կափույր. </w:t>
      </w:r>
    </w:p>
    <w:p w14:paraId="6906507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ճնշման կարգավորիչ. </w:t>
      </w:r>
    </w:p>
    <w:p w14:paraId="3249BDF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գազի մատուցման կարգավորիչ. </w:t>
      </w:r>
    </w:p>
    <w:p w14:paraId="5208C92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սահմանափակիչ սարքվածք. գազաօդախառնիչ.</w:t>
      </w:r>
    </w:p>
    <w:p w14:paraId="3619A7A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լցավորման բլոկ կամ հանգույց.</w:t>
      </w:r>
    </w:p>
    <w:p w14:paraId="114153E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էլեկտրոնային կառավարման բլոկ (էլեկտրոնային համակարգերի համար).</w:t>
      </w:r>
    </w:p>
    <w:p w14:paraId="123CEBD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ճկուն և կոշտ վառելիքամուղներ. </w:t>
      </w:r>
    </w:p>
    <w:p w14:paraId="4631251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ամրան:</w:t>
      </w:r>
    </w:p>
    <w:p w14:paraId="66680EA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15.2.8. Լրացուցիչ ավտոմատ կափույրը կարող է կատարված լինել ճնշման կարգավորիչով մեկ հանգույցում: </w:t>
      </w:r>
    </w:p>
    <w:p w14:paraId="4108460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Լրացուցիչ ավտոմատ կափույրը կարող է տեղակայվել վառելիքամուղում՝ ճնշման կարգավորիչից առավելագույն մոտ հեռավորության վրա: </w:t>
      </w:r>
    </w:p>
    <w:p w14:paraId="7573A7C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15.2.9. Բալոնը տեղակայվում է այնպես, որ մետաղական մակերևույթների միջև շփում տեղի չունենա՝ բացառությամբ բալոնի (բալոնների) ամրակման հանգույցների հետ շփման: </w:t>
      </w:r>
    </w:p>
    <w:p w14:paraId="70F8555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15.2.10. Շահագործման պատրաստ տրակտորի վրա գազի բալոնի և հենարանային մակերևույթի (գրունտի) միջև հեռավորությունը պետք է կազմի առնվազն 200 մմ: </w:t>
      </w:r>
    </w:p>
    <w:p w14:paraId="01EE883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15.2.11. Ավտոմատ կափույրը տեղակայվում է անմիջականորեն յուրաքանչյուր բալոնի վրա: </w:t>
      </w:r>
    </w:p>
    <w:p w14:paraId="36EC0324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Բալոնի ավտոմատ կափույրը պետք է գործարկվի այնպես, որ վառելիքի մատուցումը դադարի շարժիչը միացնելիս՝ անկախ վառքի բանալու դիրքից, և մնա փակ վիճակում չաշխատող շարժիչի դեպքում: Ախտորոշիչ նպատակներով թույլատրվում է երկու վայրկյանով պահում: </w:t>
      </w:r>
    </w:p>
    <w:p w14:paraId="1741442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15.2.12. Սահմանափակիչ սարքվածքը տեղակայվում է վառելիքի բալոնում (վառելիքի բալոններում)՝ բալոնի ավտոմատ կափույրի վրա: </w:t>
      </w:r>
    </w:p>
    <w:p w14:paraId="3DE0BFB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 xml:space="preserve">15.2.13. Ձեռքի փականը կոշտ ամրակվում է բալոնի վրա և կարող է ներկառուցվել ավտոմատ կափույրի մեջ: </w:t>
      </w:r>
    </w:p>
    <w:p w14:paraId="7226F198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15.2.14. Կոշտ վառելիքամուղները պետք է պատրաստված լինեն չժանգոտվող պողպատից կամ հակակոռոզիոն ծածկույթով պողպատից՝ ամբողջաձիգ խողովակների տեսքով անկար նյութից: </w:t>
      </w:r>
    </w:p>
    <w:p w14:paraId="5B0F3D9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15.2.15. Կոշտ և ճկուն վառելիքամուղները պետք է ամրակվեն այնպես, որ դրանք չենթարկվեն թրթռման կամ արտաքին բեռնվածքների:</w:t>
      </w:r>
    </w:p>
    <w:p w14:paraId="72B9CC7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Ամրակման կետում ճկուն կամ կոշտ վառելիքամուղները պետք է տեղակայվեն այնպես, որ մետաղական դետալների միջև շփումներ չլինեն:</w:t>
      </w:r>
    </w:p>
    <w:p w14:paraId="5CE728C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Կոշտ և ճկուն վառելիքամուղները չպետք է տեղադրվեն ամբարձիկով վերհանման կետերի տեղակայման տեղում:</w:t>
      </w:r>
    </w:p>
    <w:p w14:paraId="2B1387C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Բաց տեղամասերում վառելիքամուղները պետք է ծածկվեն պաշտպանիչ նյութով:</w:t>
      </w:r>
    </w:p>
    <w:p w14:paraId="274D777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15.2.16. Զոդամիացքներ կամ եռակցվածքներ, ինչպես նաև պարուրակավոր միացքներ հենակային մանեկներով չի թույլատրվում: </w:t>
      </w:r>
    </w:p>
    <w:p w14:paraId="61ED390B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Միացքների քանակը պետք է լինի նվազագույն:</w:t>
      </w:r>
    </w:p>
    <w:p w14:paraId="64B23DE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Բոլոր միացքները պետք է գտնվեն զննման համար մատչելի տեղերում:</w:t>
      </w:r>
    </w:p>
    <w:p w14:paraId="24FD97C4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15.2.17. Լցավորման բլոկը պետք է տեղադրվի տրակտորի արտաքին կողմից կամ շարժիչային հատվածամասում: </w:t>
      </w:r>
    </w:p>
    <w:p w14:paraId="2FB413AB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Լցավորման բլոկի ամրակցմամբ պետք է բացառվի դրա պտտման հավանականությունը և ապահովվի դրա պաշտպանությունը կեղտից և խոնավությունից:</w:t>
      </w:r>
    </w:p>
    <w:p w14:paraId="2A635C5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15.2.18. Սնուցման համակարգի էլեկտրասարքավորումները պետք է պաշտպանված լինեն գերբեռնումներից:</w:t>
      </w:r>
    </w:p>
    <w:p w14:paraId="40D9570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Էլեկտրական միացումների և էլեկտրասարքավորումների տարրերի կառուցվածքով պետք է բացառվի էլեկտրական կայծի առաջացման հավանականությունը:</w:t>
      </w:r>
    </w:p>
    <w:p w14:paraId="6CEDA6C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>16. Լուսավորման սարքվածքներին և լուսային ազդանշանմանը ներկայացվող լրացուցիչ պահանջները</w:t>
      </w:r>
    </w:p>
    <w:p w14:paraId="7424E3D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16.1. Կցանքների վրա, որոնց համար մշտապես բաց լուսային սարքերի տեղակայումը անհամատեղելի է դրանց նշանակության հետ, ցանկացած լուսային սարք կարող է կատարվել որպես բացվող, այդ թվում՝ ձեռքով:</w:t>
      </w:r>
    </w:p>
    <w:p w14:paraId="464548CE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Այդպիսի լուսային սարքերի օգտագործման կարգը սահմանվում է շահագործման ձեռնարկում:</w:t>
      </w:r>
    </w:p>
    <w:p w14:paraId="6B06EC5D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16.2. Թույլատրվում է նարնջագույն կողային լուսանդրադարձիչների օգտագործումը:</w:t>
      </w:r>
    </w:p>
    <w:p w14:paraId="09647E2D" w14:textId="03A68A59" w:rsidR="00BF5518" w:rsidRPr="00972262" w:rsidRDefault="00BF5518" w:rsidP="00BF551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16.3. Թույլատրվում է չտեղակայել «Դանդաղընթաց տրանսպորտային միջոց» նշանը անդամ պետության (անդամ պետությունների) օրենսդրությունում տվյալ պահանջի բացակայության դեպքում:</w:t>
      </w:r>
    </w:p>
    <w:p w14:paraId="426BB85C" w14:textId="08D64A23" w:rsidR="00FA653D" w:rsidRDefault="00FA653D" w:rsidP="00BF551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(հավելվածը փոփ., խմբ., լրաց. ԵՏՀԽ 29.10.21 թիվ 127</w:t>
      </w:r>
      <w:r w:rsidR="00FA23D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, փոփ. ԵՏՀԽ 15.04.22 թիվ 89, ԵՏՀԽ 17.10.22 թիվ 167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)</w:t>
      </w:r>
    </w:p>
    <w:p w14:paraId="3E1B6F40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9605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ՀԱՎԵԼՎԱԾ 5</w:t>
      </w:r>
      <w:r w:rsidRPr="00396051">
        <w:rPr>
          <w:rFonts w:ascii="GHEA Grapalat" w:hAnsi="GHEA Grapalat"/>
          <w:b/>
          <w:bCs/>
          <w:i/>
          <w:iCs/>
          <w:sz w:val="24"/>
          <w:szCs w:val="24"/>
          <w:vertAlign w:val="superscript"/>
          <w:lang w:val="hy-AM"/>
        </w:rPr>
        <w:t>1</w:t>
      </w:r>
    </w:p>
    <w:p w14:paraId="7A39D5C8" w14:textId="3D87B10F" w:rsidR="00396051" w:rsidRDefault="00396051" w:rsidP="00396051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9605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«Գյուղատնտեսական և անտառատնտեսական տրակտորների և դրանց կցանքների անվտանգության մասին» Մաքսային միության տեխնիկական կանոնակարգում (ՄՄ ՏԿ 031/2012) կատարվող</w:t>
      </w:r>
    </w:p>
    <w:p w14:paraId="46F62717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9605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ԱՆՎՏԱՆԳՈՒԹՅԱՆ ՊԱՀԱՆՋՆԵՐ</w:t>
      </w:r>
    </w:p>
    <w:p w14:paraId="6C468162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96051">
        <w:rPr>
          <w:rFonts w:ascii="Calibri" w:hAnsi="Calibri" w:cs="Calibri"/>
          <w:b/>
          <w:bCs/>
          <w:i/>
          <w:iCs/>
          <w:sz w:val="24"/>
          <w:szCs w:val="24"/>
          <w:lang w:val="hy-AM"/>
        </w:rPr>
        <w:t> </w:t>
      </w:r>
    </w:p>
    <w:p w14:paraId="67DE793F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«Գյուղատնտեսական և անտառատնտեսական տրակտորների և դրանց կցանքների անվտանգության մասին» Մաքսային միության տեխնիկական կանոնակարգին (ՄՄ ՏԿ 031/2012) համապատասխան՝ տրակտորներին և կցանքներին ներկայացվող</w:t>
      </w:r>
    </w:p>
    <w:p w14:paraId="5CDE4E69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Calibri" w:hAnsi="Calibri" w:cs="Calibri"/>
          <w:sz w:val="24"/>
          <w:szCs w:val="24"/>
          <w:lang w:val="hy-AM"/>
        </w:rPr>
        <w:t> </w:t>
      </w:r>
    </w:p>
    <w:p w14:paraId="5772FAE5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 xml:space="preserve">Մինչև 2023 թվականի հունվարի 31-ը ներառյալ Եվրասիական տնտեսական միության անդամ պետությունների տարածքներում արտադրվող շարժիչների, </w:t>
      </w:r>
      <w:r w:rsidRPr="00396051">
        <w:rPr>
          <w:rFonts w:ascii="GHEA Grapalat" w:hAnsi="GHEA Grapalat"/>
          <w:sz w:val="24"/>
          <w:szCs w:val="24"/>
          <w:lang w:val="hy-AM"/>
        </w:rPr>
        <w:lastRenderedPageBreak/>
        <w:t>ինչպես նաև տրակտորների՝ դրանց վրա տեղադրված շարժիչներով, բանած գազերում պարունակվող վնասակար նյութերի արտանետումները չպետք է գերազանցեն այն արժեքները, որոնք ներկայացված են՝</w:t>
      </w:r>
    </w:p>
    <w:p w14:paraId="710FFA7B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 xml:space="preserve">ԳՕՍՏ 17.2.2.02-98-ում, ԳՕՍՏ 17.2.2.05-97-ում՝ 0-րդ էկոլոգիական դասի համար. </w:t>
      </w:r>
    </w:p>
    <w:p w14:paraId="0D0931FB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ՄԱԿ-ի թիվ 96 (00) կանոններում, ԳՕՍՏ 17.2.2.02-98-ում՝ 1-ին էկոլոգիական դասի համար.</w:t>
      </w:r>
    </w:p>
    <w:p w14:paraId="34CF0FE0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ՄԱԿ-ի թիվ 96 (00) կանոններում (5.2.1 կետ)՝ D, El, F, G հզորության ընդգրկույթներով շարժիչների համար՝ 2-րդ էկոլոգիական դասի համար։</w:t>
      </w:r>
    </w:p>
    <w:p w14:paraId="06A0C5DE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Շարժիչների բանած գազերում պարունակվող վնասակար նյութերի արտանետումների հսկողության մեթոդները՝</w:t>
      </w:r>
    </w:p>
    <w:p w14:paraId="60D37FAE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0-րդ էկոլոգիական դասի համար՝ ԳՕՍՏ 17.2.2.02-98-ով, ԳՕՍՏ 17.2.2.05-97-ով.</w:t>
      </w:r>
    </w:p>
    <w:p w14:paraId="2CD63298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1-ին էկոլոգիական դասի համար՝ ԳՕՍՏ 17.2.2.02-98-ով, ՄԱԿ-ի թիվ 96 (00) կանոններով.</w:t>
      </w:r>
    </w:p>
    <w:p w14:paraId="305FB8C7" w14:textId="77777777" w:rsid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96051">
        <w:rPr>
          <w:rFonts w:ascii="GHEA Grapalat" w:hAnsi="GHEA Grapalat"/>
          <w:sz w:val="24"/>
          <w:szCs w:val="24"/>
          <w:lang w:val="hy-AM"/>
        </w:rPr>
        <w:t>2-րդ էկոլոգիական դասի համար՝ ՄԱԿ-ի թիվ 96 (02) կանոններով։</w:t>
      </w:r>
    </w:p>
    <w:p w14:paraId="7C69B2C5" w14:textId="77777777" w:rsidR="00396051" w:rsidRPr="00396051" w:rsidRDefault="00396051" w:rsidP="00396051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14:paraId="7EACB7AE" w14:textId="107D4D44" w:rsidR="00396051" w:rsidRPr="00396051" w:rsidRDefault="00396051" w:rsidP="00396051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9605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(հավելվածը լրաց. ԵՏՀԽ 15.04.22 թիվ 89)</w:t>
      </w:r>
    </w:p>
    <w:sectPr w:rsidR="00396051" w:rsidRPr="00396051" w:rsidSect="00D4501F">
      <w:footerReference w:type="default" r:id="rId9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1F7E" w14:textId="77777777" w:rsidR="003F6573" w:rsidRDefault="003F6573" w:rsidP="0086157E">
      <w:pPr>
        <w:spacing w:after="0" w:line="240" w:lineRule="auto"/>
      </w:pPr>
      <w:r>
        <w:separator/>
      </w:r>
    </w:p>
  </w:endnote>
  <w:endnote w:type="continuationSeparator" w:id="0">
    <w:p w14:paraId="30209786" w14:textId="77777777" w:rsidR="003F6573" w:rsidRDefault="003F6573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45B3D" w14:textId="77777777" w:rsidR="003F6573" w:rsidRDefault="003F6573" w:rsidP="0086157E">
      <w:pPr>
        <w:spacing w:after="0" w:line="240" w:lineRule="auto"/>
      </w:pPr>
      <w:r>
        <w:separator/>
      </w:r>
    </w:p>
  </w:footnote>
  <w:footnote w:type="continuationSeparator" w:id="0">
    <w:p w14:paraId="1B6A0A37" w14:textId="77777777" w:rsidR="003F6573" w:rsidRDefault="003F6573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391471">
    <w:abstractNumId w:val="3"/>
  </w:num>
  <w:num w:numId="2" w16cid:durableId="515778978">
    <w:abstractNumId w:val="9"/>
  </w:num>
  <w:num w:numId="3" w16cid:durableId="1454522770">
    <w:abstractNumId w:val="26"/>
  </w:num>
  <w:num w:numId="4" w16cid:durableId="862131319">
    <w:abstractNumId w:val="23"/>
  </w:num>
  <w:num w:numId="5" w16cid:durableId="647586992">
    <w:abstractNumId w:val="19"/>
  </w:num>
  <w:num w:numId="6" w16cid:durableId="583759411">
    <w:abstractNumId w:val="0"/>
  </w:num>
  <w:num w:numId="7" w16cid:durableId="320232830">
    <w:abstractNumId w:val="15"/>
  </w:num>
  <w:num w:numId="8" w16cid:durableId="695810492">
    <w:abstractNumId w:val="5"/>
  </w:num>
  <w:num w:numId="9" w16cid:durableId="261574782">
    <w:abstractNumId w:val="21"/>
  </w:num>
  <w:num w:numId="10" w16cid:durableId="1304388971">
    <w:abstractNumId w:val="18"/>
  </w:num>
  <w:num w:numId="11" w16cid:durableId="1853101818">
    <w:abstractNumId w:val="16"/>
  </w:num>
  <w:num w:numId="12" w16cid:durableId="1375735945">
    <w:abstractNumId w:val="27"/>
  </w:num>
  <w:num w:numId="13" w16cid:durableId="1803300898">
    <w:abstractNumId w:val="24"/>
  </w:num>
  <w:num w:numId="14" w16cid:durableId="189076662">
    <w:abstractNumId w:val="1"/>
  </w:num>
  <w:num w:numId="15" w16cid:durableId="83652348">
    <w:abstractNumId w:val="29"/>
  </w:num>
  <w:num w:numId="16" w16cid:durableId="1934124792">
    <w:abstractNumId w:val="25"/>
  </w:num>
  <w:num w:numId="17" w16cid:durableId="1620801702">
    <w:abstractNumId w:val="22"/>
  </w:num>
  <w:num w:numId="18" w16cid:durableId="875970397">
    <w:abstractNumId w:val="10"/>
  </w:num>
  <w:num w:numId="19" w16cid:durableId="1635982367">
    <w:abstractNumId w:val="12"/>
  </w:num>
  <w:num w:numId="20" w16cid:durableId="1526820894">
    <w:abstractNumId w:val="6"/>
  </w:num>
  <w:num w:numId="21" w16cid:durableId="630670710">
    <w:abstractNumId w:val="7"/>
  </w:num>
  <w:num w:numId="22" w16cid:durableId="460805241">
    <w:abstractNumId w:val="4"/>
  </w:num>
  <w:num w:numId="23" w16cid:durableId="712539836">
    <w:abstractNumId w:val="11"/>
  </w:num>
  <w:num w:numId="24" w16cid:durableId="1777796242">
    <w:abstractNumId w:val="14"/>
  </w:num>
  <w:num w:numId="25" w16cid:durableId="935483653">
    <w:abstractNumId w:val="30"/>
  </w:num>
  <w:num w:numId="26" w16cid:durableId="938758151">
    <w:abstractNumId w:val="28"/>
  </w:num>
  <w:num w:numId="27" w16cid:durableId="247348935">
    <w:abstractNumId w:val="17"/>
  </w:num>
  <w:num w:numId="28" w16cid:durableId="489369467">
    <w:abstractNumId w:val="20"/>
  </w:num>
  <w:num w:numId="29" w16cid:durableId="865558383">
    <w:abstractNumId w:val="8"/>
  </w:num>
  <w:num w:numId="30" w16cid:durableId="138574603">
    <w:abstractNumId w:val="2"/>
  </w:num>
  <w:num w:numId="31" w16cid:durableId="1228881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22AB0"/>
    <w:rsid w:val="00046CAC"/>
    <w:rsid w:val="00054691"/>
    <w:rsid w:val="0005514D"/>
    <w:rsid w:val="00092288"/>
    <w:rsid w:val="0015341A"/>
    <w:rsid w:val="001A559E"/>
    <w:rsid w:val="001C3580"/>
    <w:rsid w:val="001E6DF0"/>
    <w:rsid w:val="001F2143"/>
    <w:rsid w:val="0022636F"/>
    <w:rsid w:val="00232DEB"/>
    <w:rsid w:val="00242E66"/>
    <w:rsid w:val="002474DC"/>
    <w:rsid w:val="002547BE"/>
    <w:rsid w:val="00254C8A"/>
    <w:rsid w:val="002972B9"/>
    <w:rsid w:val="002E7E09"/>
    <w:rsid w:val="003001A7"/>
    <w:rsid w:val="00316592"/>
    <w:rsid w:val="00396051"/>
    <w:rsid w:val="003D46F5"/>
    <w:rsid w:val="003F6573"/>
    <w:rsid w:val="00405818"/>
    <w:rsid w:val="004415AF"/>
    <w:rsid w:val="00450FFD"/>
    <w:rsid w:val="00485CFE"/>
    <w:rsid w:val="004B3E47"/>
    <w:rsid w:val="004C34F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6F0021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B27CB"/>
    <w:rsid w:val="007C158D"/>
    <w:rsid w:val="0086157E"/>
    <w:rsid w:val="0086244B"/>
    <w:rsid w:val="00892AFA"/>
    <w:rsid w:val="00894FC5"/>
    <w:rsid w:val="008A0F9D"/>
    <w:rsid w:val="008A5289"/>
    <w:rsid w:val="008A69CC"/>
    <w:rsid w:val="008E1113"/>
    <w:rsid w:val="008E7008"/>
    <w:rsid w:val="0091367F"/>
    <w:rsid w:val="00961A29"/>
    <w:rsid w:val="00963AEF"/>
    <w:rsid w:val="00971E53"/>
    <w:rsid w:val="00972262"/>
    <w:rsid w:val="00986A85"/>
    <w:rsid w:val="009D65E8"/>
    <w:rsid w:val="009E2A86"/>
    <w:rsid w:val="00A24CB4"/>
    <w:rsid w:val="00A32CA3"/>
    <w:rsid w:val="00A6006E"/>
    <w:rsid w:val="00A67327"/>
    <w:rsid w:val="00A74EFB"/>
    <w:rsid w:val="00A75240"/>
    <w:rsid w:val="00A75E07"/>
    <w:rsid w:val="00A7623B"/>
    <w:rsid w:val="00AB3A3D"/>
    <w:rsid w:val="00AD572E"/>
    <w:rsid w:val="00AE6665"/>
    <w:rsid w:val="00B4103E"/>
    <w:rsid w:val="00B75999"/>
    <w:rsid w:val="00BA6A81"/>
    <w:rsid w:val="00BF5518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A23D2"/>
    <w:rsid w:val="00FA653D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4C34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25</Pages>
  <Words>4907</Words>
  <Characters>27972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19</cp:revision>
  <dcterms:created xsi:type="dcterms:W3CDTF">2021-07-15T11:31:00Z</dcterms:created>
  <dcterms:modified xsi:type="dcterms:W3CDTF">2024-11-21T06:33:00Z</dcterms:modified>
</cp:coreProperties>
</file>